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56" w:rsidRDefault="00C75856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5856" w:rsidRDefault="00C75856">
      <w:pPr>
        <w:pStyle w:val="ConsPlusNormal"/>
        <w:jc w:val="both"/>
        <w:outlineLvl w:val="0"/>
      </w:pPr>
    </w:p>
    <w:p w:rsidR="00C75856" w:rsidRDefault="00C75856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C75856" w:rsidRDefault="00C75856">
      <w:pPr>
        <w:pStyle w:val="ConsPlusTitle"/>
        <w:jc w:val="center"/>
      </w:pPr>
    </w:p>
    <w:p w:rsidR="00C75856" w:rsidRDefault="00C75856">
      <w:pPr>
        <w:pStyle w:val="ConsPlusTitle"/>
        <w:jc w:val="center"/>
      </w:pPr>
      <w:r>
        <w:t>ПРИКАЗ</w:t>
      </w:r>
    </w:p>
    <w:p w:rsidR="00C75856" w:rsidRDefault="00C75856">
      <w:pPr>
        <w:pStyle w:val="ConsPlusTitle"/>
        <w:jc w:val="center"/>
      </w:pPr>
      <w:r>
        <w:t>от 30 декабря 2014 г. N 2479</w:t>
      </w:r>
    </w:p>
    <w:p w:rsidR="00C75856" w:rsidRDefault="00C75856">
      <w:pPr>
        <w:pStyle w:val="ConsPlusTitle"/>
        <w:jc w:val="center"/>
      </w:pPr>
    </w:p>
    <w:p w:rsidR="00C75856" w:rsidRDefault="00C75856">
      <w:pPr>
        <w:pStyle w:val="ConsPlusTitle"/>
        <w:jc w:val="center"/>
      </w:pPr>
      <w:r>
        <w:t>ОБ УТВЕРЖДЕНИИ МЕТОДИЧЕСКИХ РЕКОМЕНДАЦИЙ</w:t>
      </w:r>
    </w:p>
    <w:p w:rsidR="00C75856" w:rsidRDefault="00C75856">
      <w:pPr>
        <w:pStyle w:val="ConsPlusTitle"/>
        <w:jc w:val="center"/>
      </w:pPr>
      <w:r>
        <w:t xml:space="preserve">ПО ФОРМИРОВАНИЮ ШТАТНОЙ ЧИСЛЕННОСТИ </w:t>
      </w:r>
      <w:proofErr w:type="gramStart"/>
      <w:r>
        <w:t>ГОСУДАРСТВЕННЫХ</w:t>
      </w:r>
      <w:proofErr w:type="gramEnd"/>
    </w:p>
    <w:p w:rsidR="00C75856" w:rsidRDefault="00C75856">
      <w:pPr>
        <w:pStyle w:val="ConsPlusTitle"/>
        <w:jc w:val="center"/>
      </w:pPr>
      <w:proofErr w:type="gramStart"/>
      <w:r>
        <w:t>(МУНИЦИПАЛЬНЫХ) УЧРЕЖДЕНИЙ КУЛЬТУРЫ (БИБЛИОТЕК,</w:t>
      </w:r>
      <w:proofErr w:type="gramEnd"/>
    </w:p>
    <w:p w:rsidR="00C75856" w:rsidRDefault="00C75856">
      <w:pPr>
        <w:pStyle w:val="ConsPlusTitle"/>
        <w:jc w:val="center"/>
      </w:pPr>
      <w:r>
        <w:t>ФИЛЬМОФОНДОВ, ЗООПАРКОВ, МУЗЕЕВ И ДРУГИХ ОРГАНИЗАЦИЙ</w:t>
      </w:r>
    </w:p>
    <w:p w:rsidR="00C75856" w:rsidRDefault="00C75856">
      <w:pPr>
        <w:pStyle w:val="ConsPlusTitle"/>
        <w:jc w:val="center"/>
      </w:pPr>
      <w:proofErr w:type="gramStart"/>
      <w:r>
        <w:t>МУЗЕЙНОГО ТИПА) С УЧЕТОМ ОТРАСЛЕВОЙ СПЕЦИФИКИ</w:t>
      </w:r>
      <w:proofErr w:type="gramEnd"/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раздела V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приказываю: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1. Утвердить Методические рекомендации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 согласно </w:t>
      </w:r>
      <w:hyperlink w:anchor="P28">
        <w:r>
          <w:rPr>
            <w:color w:val="0000FF"/>
          </w:rPr>
          <w:t>приложению</w:t>
        </w:r>
      </w:hyperlink>
      <w:r>
        <w:t>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Н.А. </w:t>
      </w:r>
      <w:proofErr w:type="spellStart"/>
      <w:r>
        <w:t>Малакова</w:t>
      </w:r>
      <w:proofErr w:type="spellEnd"/>
      <w:r>
        <w:t>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right"/>
      </w:pPr>
      <w:r>
        <w:t>Министр</w:t>
      </w:r>
    </w:p>
    <w:p w:rsidR="00C75856" w:rsidRDefault="00C75856">
      <w:pPr>
        <w:pStyle w:val="ConsPlusNormal"/>
        <w:jc w:val="right"/>
      </w:pPr>
      <w:r>
        <w:t>В.Р.МЕДИНСКИЙ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right"/>
        <w:outlineLvl w:val="0"/>
      </w:pPr>
      <w:r>
        <w:t>Приложение</w:t>
      </w:r>
    </w:p>
    <w:p w:rsidR="00C75856" w:rsidRDefault="00C75856">
      <w:pPr>
        <w:pStyle w:val="ConsPlusNormal"/>
        <w:jc w:val="right"/>
      </w:pPr>
      <w:r>
        <w:t>к приказу Министерства культуры</w:t>
      </w:r>
    </w:p>
    <w:p w:rsidR="00C75856" w:rsidRDefault="00C75856">
      <w:pPr>
        <w:pStyle w:val="ConsPlusNormal"/>
        <w:jc w:val="right"/>
      </w:pPr>
      <w:r>
        <w:t>Российской Федерации</w:t>
      </w:r>
    </w:p>
    <w:p w:rsidR="00C75856" w:rsidRDefault="00C75856">
      <w:pPr>
        <w:pStyle w:val="ConsPlusNormal"/>
        <w:jc w:val="right"/>
      </w:pPr>
      <w:r>
        <w:t>от 30 декабря 2014 г. N 2479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C75856" w:rsidRDefault="00C75856">
      <w:pPr>
        <w:pStyle w:val="ConsPlusTitle"/>
        <w:jc w:val="center"/>
      </w:pPr>
      <w:r>
        <w:t>ПО ФОРМИРОВАНИЮ ШТАТНОЙ ЧИСЛЕННОСТИ РАБОТНИКОВ</w:t>
      </w:r>
    </w:p>
    <w:p w:rsidR="00C75856" w:rsidRDefault="00C75856">
      <w:pPr>
        <w:pStyle w:val="ConsPlusTitle"/>
        <w:jc w:val="center"/>
      </w:pPr>
      <w:r>
        <w:t>ГОСУДАРСТВЕННЫХ (МУНИЦИПАЛЬНЫХ) УЧРЕЖДЕНИЙ КУЛЬТУРЫ</w:t>
      </w:r>
    </w:p>
    <w:p w:rsidR="00C75856" w:rsidRDefault="00C75856">
      <w:pPr>
        <w:pStyle w:val="ConsPlusTitle"/>
        <w:jc w:val="center"/>
      </w:pPr>
      <w:proofErr w:type="gramStart"/>
      <w:r>
        <w:t>(БИБЛИОТЕК, ФИЛЬМОФОНДОВ, ЗООПАРКОВ, МУЗЕЕВ И ДРУГИХ</w:t>
      </w:r>
      <w:proofErr w:type="gramEnd"/>
    </w:p>
    <w:p w:rsidR="00C75856" w:rsidRDefault="00C75856">
      <w:pPr>
        <w:pStyle w:val="ConsPlusTitle"/>
        <w:jc w:val="center"/>
      </w:pPr>
      <w:proofErr w:type="gramStart"/>
      <w:r>
        <w:t>ОРГАНИЗАЦИЙ МУЗЕЙНОГО ТИПА) С УЧЕТОМ ОТРАСЛЕВОЙ СПЕЦИФИКИ</w:t>
      </w:r>
      <w:proofErr w:type="gramEnd"/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  <w:outlineLvl w:val="1"/>
      </w:pPr>
      <w:r>
        <w:t>I. Общие положения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формированию штатной численности работников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 (далее - Методические рекомендации) разработаны в целях реализации </w:t>
      </w:r>
      <w:hyperlink r:id="rId9">
        <w:r>
          <w:rPr>
            <w:color w:val="0000FF"/>
          </w:rPr>
          <w:t>пункта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0">
        <w:r>
          <w:rPr>
            <w:color w:val="0000FF"/>
          </w:rPr>
          <w:t>пунктом 4 раздела V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</w:t>
      </w:r>
      <w:proofErr w:type="gramEnd"/>
      <w:r>
        <w:t xml:space="preserve"> </w:t>
      </w:r>
      <w:proofErr w:type="gramStart"/>
      <w:r>
        <w:t xml:space="preserve">2014, N 19, ст. 2470), Методическими </w:t>
      </w:r>
      <w:hyperlink r:id="rId11">
        <w:r>
          <w:rPr>
            <w:color w:val="0000FF"/>
          </w:rPr>
          <w:t>рекомендациями</w:t>
        </w:r>
      </w:hyperlink>
      <w:r>
        <w:t xml:space="preserve"> для федеральных органов исполнительной власти по разработке типовых отраслевых норм труда, утвержденными приказом Министерства труда и социальной защиты Российской Федерации от 31.05.2013 N 235 (Бюллетень трудового и социального законодательства Российской Федерации, 2013, N 8) (далее - приказ N 235) и Методическими </w:t>
      </w:r>
      <w:hyperlink r:id="rId12">
        <w:r>
          <w:rPr>
            <w:color w:val="0000FF"/>
          </w:rPr>
          <w:t>рекомендациями</w:t>
        </w:r>
      </w:hyperlink>
      <w:r>
        <w:t xml:space="preserve"> по разработке систем нормирования труда в государственных (муниципальных) учреждениях, утвержденными приказом Министерства</w:t>
      </w:r>
      <w:proofErr w:type="gramEnd"/>
      <w:r>
        <w:t xml:space="preserve"> </w:t>
      </w:r>
      <w:proofErr w:type="gramStart"/>
      <w:r>
        <w:t xml:space="preserve">труда и социальной </w:t>
      </w:r>
      <w:r>
        <w:lastRenderedPageBreak/>
        <w:t xml:space="preserve">защиты Российской Федерации от 30.09.2013 N 504 (Бюллетень трудового и социального законодательства Российской Федерации, 2013, N 12) (далее - приказ N 504), а также руководствуясь </w:t>
      </w:r>
      <w:hyperlink r:id="rId13">
        <w:r>
          <w:rPr>
            <w:color w:val="0000FF"/>
          </w:rPr>
          <w:t>Положением</w:t>
        </w:r>
      </w:hyperlink>
      <w:r>
        <w:t xml:space="preserve"> об установлении систем оплаты труда работников федеральных бюджетных, автономных и казенных учреждений, утвержденным постановлением Правительства Российской Федерации от 05.08.2008 N 583 "О введении новых систем оплаты труда работников федеральных бюджетных, автономных и</w:t>
      </w:r>
      <w:proofErr w:type="gramEnd"/>
      <w:r>
        <w:t xml:space="preserve"> </w:t>
      </w:r>
      <w:proofErr w:type="gramStart"/>
      <w:r>
        <w:t>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</w:t>
      </w:r>
      <w:proofErr w:type="gramEnd"/>
      <w:r>
        <w:t xml:space="preserve"> N 40, ст. 4544; 2010, N 52 (ч. I), ст. 7104; 2012, N 21, ст. 2652; N 40, ст. 5456; 2013, N 5, ст. 396; </w:t>
      </w:r>
      <w:proofErr w:type="gramStart"/>
      <w:r>
        <w:t>2014, N 4, ст. 373), для предоставления методической помощи библиотекам, фильмофондам, зоопаркам, музеям и другим организациям музейного типа в установлении необходимой штатной численности персонала, позволяющей оказать заданное (определенное) количество услуг (объем работ) при типовых организационно-технических условиях деятельности указанных учреждений с учетом специфики отрасли при введении в действие типовых отраслевых норм труда.</w:t>
      </w:r>
      <w:proofErr w:type="gramEnd"/>
    </w:p>
    <w:p w:rsidR="00C75856" w:rsidRDefault="00C75856">
      <w:pPr>
        <w:pStyle w:val="ConsPlusNormal"/>
        <w:spacing w:before="200"/>
        <w:ind w:firstLine="540"/>
        <w:jc w:val="both"/>
      </w:pPr>
      <w:r>
        <w:t>Настоящие Методические рекомендации предлагаются для применения в соответствующих государственных (муниципальных) учреждениях культуры независимо от форм собственности и организационно-правовых форм.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2. В целях формирования штатной численности библиотек, фильмофондов, зоопарков, музеев и других организаций музейного типа в Методических рекомендациях используются следующие определения и понятия: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нормы труда - нормы выработки, времени, нормативы численности и другие нормы - устанавливаются в соответствии с достигнутым уровнем техники, технологии, организации производства и труда. Для однородных работ могут разрабатываться и устанавливаться типовые (межотраслевые, отраслевые, профессиональные и иные) нормы труда &lt;1&gt;;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Статьи 160</w:t>
        </w:r>
      </w:hyperlink>
      <w:r>
        <w:t xml:space="preserve">, </w:t>
      </w:r>
      <w:hyperlink r:id="rId15">
        <w:r>
          <w:rPr>
            <w:color w:val="0000FF"/>
          </w:rPr>
          <w:t>161</w:t>
        </w:r>
      </w:hyperlink>
      <w:r>
        <w:t xml:space="preserve"> Трудового Кодекса Российской Федерации.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>типовая (отраслевая) норма времени - затраты рабочего времени на выполнение единицы работы (функции) или оказание услуги в сфере культуры одним или группой работников соответствующей квалификации учреждений культуры;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типовая (отраслевая) норма численности - установленная численность работников определенного профессионально-квалификационного состава, необходимая для выполнения конкретных функций или объемов работ в учреждениях культуры;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типовая (отраслевая) норма обслуживания (выработки) - количество объектов &lt;1&gt;, которые работник или группа работников соответствующей квалификации учреждений культуры обязаны обслужить в течение единицы рабочего времени;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75856" w:rsidRDefault="00C75856">
      <w:pPr>
        <w:pStyle w:val="ConsPlusNormal"/>
        <w:spacing w:before="200"/>
        <w:ind w:firstLine="540"/>
        <w:jc w:val="both"/>
      </w:pPr>
      <w:proofErr w:type="gramStart"/>
      <w:r>
        <w:t>&lt;1&gt; Число пользователей, посетителей, посещений, экспонатов (музейных предметов), библиографических изданий, публикаций и записей, нотных изданий, видов (подвидов) животных и т.п.</w:t>
      </w:r>
      <w:proofErr w:type="gramEnd"/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>основной персонал государственного (муниципального)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C75856" w:rsidRDefault="00C75856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Перечни</w:t>
        </w:r>
      </w:hyperlink>
      <w:r>
        <w:t xml:space="preserve">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деятельности, утверждены приказом Минкультуры России от 05.05.2014 N 763 (</w:t>
      </w:r>
      <w:proofErr w:type="gramStart"/>
      <w:r>
        <w:t>зарегистрирован</w:t>
      </w:r>
      <w:proofErr w:type="gramEnd"/>
      <w:r>
        <w:t xml:space="preserve"> в Минюсте России 24.06.2014 N 32841);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вспомогательный персонал государственного (муниципального) учреждения -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</w:t>
      </w:r>
      <w:r>
        <w:lastRenderedPageBreak/>
        <w:t>обслуживание зданий и оборудования.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Примерный </w:t>
      </w:r>
      <w:hyperlink r:id="rId17">
        <w:r>
          <w:rPr>
            <w:color w:val="0000FF"/>
          </w:rPr>
          <w:t>перечень</w:t>
        </w:r>
      </w:hyperlink>
      <w:r>
        <w:t xml:space="preserve"> должностей, отнесенных к категории вспомогательного персонала организаций, находящихся в ведении Министерства культуры Российской Федерации, утвержден приказом Минкультуры России от 25.09.2014 N 1668 (зарегистрирован в Минюсте России 15.10.2014 N 34335);</w:t>
      </w:r>
    </w:p>
    <w:p w:rsidR="00C75856" w:rsidRDefault="00C75856">
      <w:pPr>
        <w:pStyle w:val="ConsPlusNormal"/>
        <w:spacing w:before="200"/>
        <w:ind w:firstLine="540"/>
        <w:jc w:val="both"/>
      </w:pPr>
      <w:proofErr w:type="gramStart"/>
      <w:r>
        <w:t>административно-управленческий персонал государственного (муниципального) учреждения культуры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государственного (муниципального) учреждения.</w:t>
      </w:r>
      <w:proofErr w:type="gramEnd"/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Примерный </w:t>
      </w:r>
      <w:hyperlink r:id="rId18">
        <w:r>
          <w:rPr>
            <w:color w:val="0000FF"/>
          </w:rPr>
          <w:t>перечень</w:t>
        </w:r>
      </w:hyperlink>
      <w:r>
        <w:t xml:space="preserve">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Федерации, утвержден приказом Минкультуры России от 08.04.2013 N 325 (зарегистрирован в Минюсте России 05.07.2013 N 28994).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3.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учреждения, так и руководителем в установленном порядке может быть поручена одному из его заместителей.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С учетом численности работников и специфики деятельности учреждения для формирования или пересмотра штатной численности государственных (муниципальных) учреждений, а также выполнения работ, связанных с нормированием труда, рекомендуется создать специализированное структурное подразделение (службу) по нормированию труда. При его отсутствии выполнение работ, связанных с нормированием труда,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Пересмотр норм труда на уровне учреждений рекомендуется осуществлять через каждые 5 лет с даты их утверждения и введения в действие, а также при изменении организации труда, внедрении новой техники и технологии.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4. При расчете норм труда и штатной численности в государственных (муниципальных) учреждениях рекомендуется учитывать все факторы, влияющие на величину затрат труда и условия выполнения работ: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технические - параметры технологического процесса, оборудования, приспособлений, требования к качеству продукции, услуг;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организационные - характеристики организации трудовых процессов, в том числе организации рабочих мест, систем и видов обслуживания, методов и приемов труда;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санитарно-гигиенические - характеристики производственной среды (освещенность рабочих мест, температура воздуха, шум, вибрация и другие);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психофизиологические - показатели, характеризующие влияние трудовых процессов на организм работника (затраты физической и умственной энергии, степень утомления и так далее);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социальные - характеристики профессионально-квалификационного уровня персонала, отношения к труду и другие (потери рабочего времени из-за нарушений трудовой дисциплины, временной нетрудоспособности, текучести кадров и т.п.);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правовые - продолжительность рабочего времени, формы организации труда, условия выполнения работ и иные, предусмотренные трудовым законодательством Российской Федерации;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структурные, экономические и другие факторы.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  <w:outlineLvl w:val="1"/>
      </w:pPr>
      <w:r>
        <w:t xml:space="preserve">II. Формирование штатной численности </w:t>
      </w:r>
      <w:proofErr w:type="gramStart"/>
      <w:r>
        <w:t>государственных</w:t>
      </w:r>
      <w:proofErr w:type="gramEnd"/>
    </w:p>
    <w:p w:rsidR="00C75856" w:rsidRDefault="00C75856">
      <w:pPr>
        <w:pStyle w:val="ConsPlusNormal"/>
        <w:jc w:val="center"/>
      </w:pPr>
      <w:proofErr w:type="gramStart"/>
      <w:r>
        <w:t>(муниципальных) учреждений культуры (библиотек,</w:t>
      </w:r>
      <w:proofErr w:type="gramEnd"/>
    </w:p>
    <w:p w:rsidR="00C75856" w:rsidRDefault="00C75856">
      <w:pPr>
        <w:pStyle w:val="ConsPlusNormal"/>
        <w:jc w:val="center"/>
      </w:pPr>
      <w:r>
        <w:t>фильмофондов, зоопарков, музеев и других организаций</w:t>
      </w:r>
    </w:p>
    <w:p w:rsidR="00C75856" w:rsidRDefault="00C75856">
      <w:pPr>
        <w:pStyle w:val="ConsPlusNormal"/>
        <w:jc w:val="center"/>
      </w:pPr>
      <w:r>
        <w:t>музейного типа) с учетом отраслевой специфики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>5. Определение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осуществляется на основе типовых отраслевых норм труда.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5.1. Формирование штатной численности государственных (муниципальных) учреждений рекомендуется проводить применительно к технологическим (трудовым) процессам и организационно-техническим условиям их выполнения по следующим категориям персонала: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основной;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вспомогательный;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административно-управленческий.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5.2. При расчете численности персонала рекомендуется определять трудозатраты по видам норм, которые представлены в типовых, отраслевых, межотраслевых и иных сборниках норм труда.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5.3. При отличии организационно-технических условий выполнения работ от тех, которые представлены в типовых сборниках норм труда, учреждения вносят изменения в показатели норм труда.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5.4. При отсутствии показателей норм труда на работы, которые выполняются в учреждении, в типовых сборниках по ним разрабатываются локальные (местные) нормы труда.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5.5. Штатная численность работников государственного (муниципального) учреждения культуры рассчитывается на основе норм труда с учетом плановых невыходов, устанавливаемых по данным бухгалтерского учета: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981075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(1)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штатная численность персонала учреждения культуры;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8125" cy="2286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нормативная численность;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286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коэффициент невыходов (отпуска, временная нетрудоспособность и т.д.), определяемый как </w:t>
      </w:r>
      <w:r>
        <w:rPr>
          <w:noProof/>
          <w:position w:val="-20"/>
        </w:rPr>
        <w:drawing>
          <wp:inline distT="0" distB="0" distL="0" distR="0">
            <wp:extent cx="1666875" cy="3905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56" w:rsidRDefault="00C75856">
      <w:pPr>
        <w:pStyle w:val="ConsPlusNormal"/>
        <w:spacing w:before="200"/>
        <w:ind w:firstLine="540"/>
        <w:jc w:val="both"/>
      </w:pPr>
      <w:r>
        <w:t>5.6. Нормативная численность основного и вспомогательного персонала учреждений культуры определяется с учетом специфики деятельности учреждения на основе норм численности, времени, обслуживания.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6. Формирование штатной численности работников библиотек и музеев.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Нормативная численность работников библиотек и музеев определяется на основе типовых показателей норм времени по видам работ по следующей формуле: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</w:pPr>
      <w:bookmarkStart w:id="1" w:name="P91"/>
      <w:bookmarkEnd w:id="1"/>
      <w:r>
        <w:rPr>
          <w:noProof/>
          <w:position w:val="-8"/>
        </w:rPr>
        <w:drawing>
          <wp:inline distT="0" distB="0" distL="0" distR="0">
            <wp:extent cx="103822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(2)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00025" cy="2286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нормативная численность сотрудников учреждения;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общие трудозатраты на объем работ планируемого периода, </w:t>
      </w:r>
      <w:proofErr w:type="spellStart"/>
      <w:r>
        <w:t>чел.·час</w:t>
      </w:r>
      <w:proofErr w:type="spellEnd"/>
      <w:proofErr w:type="gramStart"/>
      <w:r>
        <w:t>.;</w:t>
      </w:r>
      <w:proofErr w:type="gramEnd"/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71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фонд рабочего времени на планируемый период, час</w:t>
      </w:r>
      <w:proofErr w:type="gramStart"/>
      <w:r>
        <w:t>.;</w:t>
      </w:r>
      <w:proofErr w:type="gramEnd"/>
    </w:p>
    <w:p w:rsidR="00C75856" w:rsidRDefault="00C75856">
      <w:pPr>
        <w:pStyle w:val="ConsPlusNormal"/>
        <w:spacing w:before="200"/>
        <w:ind w:firstLine="540"/>
        <w:jc w:val="both"/>
      </w:pPr>
      <w:r>
        <w:t>Общие трудозатраты на оказание услуг библиотеками (музеями) определяются по следующей формуле: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</w:pPr>
      <w:bookmarkStart w:id="2" w:name="P98"/>
      <w:bookmarkEnd w:id="2"/>
      <w:r>
        <w:rPr>
          <w:noProof/>
          <w:position w:val="-23"/>
        </w:rPr>
        <w:lastRenderedPageBreak/>
        <w:drawing>
          <wp:inline distT="0" distB="0" distL="0" distR="0">
            <wp:extent cx="1247775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(3)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7622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показатель типовой нормы времени на i-й вид работ, в минутах;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286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объем выполнения i-</w:t>
      </w:r>
      <w:proofErr w:type="spellStart"/>
      <w:r>
        <w:t>го</w:t>
      </w:r>
      <w:proofErr w:type="spellEnd"/>
      <w:r>
        <w:t xml:space="preserve"> вида работ за регламентированный период времени, в условных единицах.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7. Формирование штатной численности работников фильмофондов.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Нормативная численность работников фильмофондов определяется на основе норм времени и выработки.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Нормативная численность работников фильмофондов на основе норм времени рассчитывается по </w:t>
      </w:r>
      <w:hyperlink w:anchor="P91">
        <w:r>
          <w:rPr>
            <w:color w:val="0000FF"/>
          </w:rPr>
          <w:t>формулам 2</w:t>
        </w:r>
      </w:hyperlink>
      <w:r>
        <w:t xml:space="preserve">, </w:t>
      </w:r>
      <w:hyperlink w:anchor="P98">
        <w:r>
          <w:rPr>
            <w:color w:val="0000FF"/>
          </w:rPr>
          <w:t>3</w:t>
        </w:r>
      </w:hyperlink>
      <w:r>
        <w:t>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Нормативная численность основного и вспомогательного персонала на основе норм выработки определяется по следующей формуле: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19175" cy="4572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(4)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38125" cy="2286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нормативная численность работников, чел.;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286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показатель планового объема i-</w:t>
      </w:r>
      <w:proofErr w:type="spellStart"/>
      <w:r>
        <w:t>го</w:t>
      </w:r>
      <w:proofErr w:type="spellEnd"/>
      <w:r>
        <w:t xml:space="preserve"> вида работ на год, в условных единицах;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42900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выработки i-</w:t>
      </w:r>
      <w:proofErr w:type="spellStart"/>
      <w:r>
        <w:t>го</w:t>
      </w:r>
      <w:proofErr w:type="spellEnd"/>
      <w:r>
        <w:t xml:space="preserve"> вида работ за год, в условных единицах.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8. Формирование штатной численности работников зоопарков.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Нормативная численность работников зоопарка определяется на основе норм обслуживания, норм численности и норм времени.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Нормативная численность работников зоопарков на основе норм времени рассчитывается по </w:t>
      </w:r>
      <w:hyperlink w:anchor="P91">
        <w:r>
          <w:rPr>
            <w:color w:val="0000FF"/>
          </w:rPr>
          <w:t>формулам 2</w:t>
        </w:r>
      </w:hyperlink>
      <w:r>
        <w:t xml:space="preserve">, </w:t>
      </w:r>
      <w:hyperlink w:anchor="P98">
        <w:r>
          <w:rPr>
            <w:color w:val="0000FF"/>
          </w:rPr>
          <w:t>3</w:t>
        </w:r>
      </w:hyperlink>
      <w:r>
        <w:t>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9. Формирование штатной численности персонала с учетом введения в действие норм труда осуществляются в соответствии с Трудовым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от 30.12.2001 N 197-ФЗ, приказами </w:t>
      </w:r>
      <w:hyperlink r:id="rId36">
        <w:r>
          <w:rPr>
            <w:color w:val="0000FF"/>
          </w:rPr>
          <w:t>N 235</w:t>
        </w:r>
      </w:hyperlink>
      <w:r>
        <w:t xml:space="preserve"> и </w:t>
      </w:r>
      <w:hyperlink r:id="rId37">
        <w:r>
          <w:rPr>
            <w:color w:val="0000FF"/>
          </w:rPr>
          <w:t>N 504</w:t>
        </w:r>
      </w:hyperlink>
      <w:r>
        <w:t xml:space="preserve"> и с учетом мнения представительного органа работников.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center"/>
        <w:outlineLvl w:val="1"/>
      </w:pPr>
      <w:r>
        <w:t>III. Пересмотр штатной численности работников библиотек,</w:t>
      </w:r>
    </w:p>
    <w:p w:rsidR="00C75856" w:rsidRDefault="00C75856">
      <w:pPr>
        <w:pStyle w:val="ConsPlusNormal"/>
        <w:jc w:val="center"/>
      </w:pPr>
      <w:r>
        <w:t>фильмофондов, зоопарков, музеев и других организаций</w:t>
      </w:r>
    </w:p>
    <w:p w:rsidR="00C75856" w:rsidRDefault="00C75856">
      <w:pPr>
        <w:pStyle w:val="ConsPlusNormal"/>
        <w:jc w:val="center"/>
      </w:pPr>
      <w:r>
        <w:t>музейного типа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>10. Пересмотр штатной численности работников библиотек, фильмофондов, зоопарков, музеев и других организаций музейного типа осуществляется на основе результатов изменений норм труда &lt;1&gt;.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течение года допускаются изменения штатной численности при условии отличия от действующих организационно-производственных, бюджетных и иных требований для выполнения работ.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>Внесение изменений в типовые нормы труда работников указанных учреждений осуществляется при следующих условиях: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отличие организационно-технических условий выполнения работ от тех, которые представлены в типовых сборниках норм труда;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- отсутствие показателей норм труда на работы, которые выполняются в учреждении (при </w:t>
      </w:r>
      <w:r>
        <w:lastRenderedPageBreak/>
        <w:t>изменении регламентов и стандартов оказания услуг, выполнения работ).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11. В этих целях рекомендуется применять аналитический метод нормирования труда с использованием двух видов наблюдений (фотографии рабочего времени и хронометража), данных учета и отчетности, результатов анализа организации труда и разработки мер по ее совершенствованию.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12. Порядок проведения работ для библиотек, фильмофондов, зоопарков, музеев и других организаций музейного типа осуществляется поэтапно в следующем порядке &lt;1&gt;: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8">
        <w:r>
          <w:rPr>
            <w:color w:val="0000FF"/>
          </w:rPr>
          <w:t>Приказ</w:t>
        </w:r>
      </w:hyperlink>
      <w:r>
        <w:t xml:space="preserve"> Минтруда России от 31.05.2013 N 235.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ind w:firstLine="540"/>
        <w:jc w:val="both"/>
      </w:pPr>
      <w:r>
        <w:t xml:space="preserve">- определение работ, по которым условия выполнения отличаются </w:t>
      </w:r>
      <w:proofErr w:type="gramStart"/>
      <w:r>
        <w:t>от</w:t>
      </w:r>
      <w:proofErr w:type="gramEnd"/>
      <w:r>
        <w:t xml:space="preserve"> типовых;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выбор рабочих мест для проведения исследований;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проведение исследований на выбранных рабочих местах;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обработка результатов исследований;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расчет показателей норм труда по результатам исследований;</w:t>
      </w:r>
    </w:p>
    <w:p w:rsidR="00C75856" w:rsidRDefault="00C75856">
      <w:pPr>
        <w:pStyle w:val="ConsPlusNormal"/>
        <w:spacing w:before="200"/>
        <w:ind w:firstLine="540"/>
        <w:jc w:val="both"/>
      </w:pPr>
      <w:r>
        <w:t>- внесение изменений в типовые нормы труда по результатам расчета.</w:t>
      </w: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jc w:val="both"/>
      </w:pPr>
    </w:p>
    <w:p w:rsidR="00C75856" w:rsidRDefault="00C758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4F" w:rsidRDefault="000D4B4F">
      <w:bookmarkStart w:id="3" w:name="_GoBack"/>
      <w:bookmarkEnd w:id="3"/>
    </w:p>
    <w:sectPr w:rsidR="000D4B4F" w:rsidSect="00C75856">
      <w:footerReference w:type="default" r:id="rId39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5C" w:rsidRDefault="00A71D5C" w:rsidP="00C75856">
      <w:pPr>
        <w:spacing w:after="0" w:line="240" w:lineRule="auto"/>
      </w:pPr>
      <w:r>
        <w:separator/>
      </w:r>
    </w:p>
  </w:endnote>
  <w:endnote w:type="continuationSeparator" w:id="0">
    <w:p w:rsidR="00A71D5C" w:rsidRDefault="00A71D5C" w:rsidP="00C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940581"/>
      <w:docPartObj>
        <w:docPartGallery w:val="Page Numbers (Bottom of Page)"/>
        <w:docPartUnique/>
      </w:docPartObj>
    </w:sdtPr>
    <w:sdtContent>
      <w:p w:rsidR="00C75856" w:rsidRDefault="00C758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75856" w:rsidRDefault="00C758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5C" w:rsidRDefault="00A71D5C" w:rsidP="00C75856">
      <w:pPr>
        <w:spacing w:after="0" w:line="240" w:lineRule="auto"/>
      </w:pPr>
      <w:r>
        <w:separator/>
      </w:r>
    </w:p>
  </w:footnote>
  <w:footnote w:type="continuationSeparator" w:id="0">
    <w:p w:rsidR="00A71D5C" w:rsidRDefault="00A71D5C" w:rsidP="00C75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56"/>
    <w:rsid w:val="000D4B4F"/>
    <w:rsid w:val="00A71D5C"/>
    <w:rsid w:val="00C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58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58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856"/>
  </w:style>
  <w:style w:type="paragraph" w:styleId="a7">
    <w:name w:val="footer"/>
    <w:basedOn w:val="a"/>
    <w:link w:val="a8"/>
    <w:uiPriority w:val="99"/>
    <w:unhideWhenUsed/>
    <w:rsid w:val="00C7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58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58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856"/>
  </w:style>
  <w:style w:type="paragraph" w:styleId="a7">
    <w:name w:val="footer"/>
    <w:basedOn w:val="a"/>
    <w:link w:val="a8"/>
    <w:uiPriority w:val="99"/>
    <w:unhideWhenUsed/>
    <w:rsid w:val="00C7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2E8A37ABAACDB9FCB74F4481779B4BB40921C76136C401DA0C703234AB1C25244D4296B90C6A3A39B62AD2A4B1A06EF39D8002C3788B9NFE" TargetMode="External"/><Relationship Id="rId13" Type="http://schemas.openxmlformats.org/officeDocument/2006/relationships/hyperlink" Target="consultantplus://offline/ref=49A132E8A37ABAACDB9FCB74F4481779B6BD4F961E72136C401DA0C703234AB1C25244D4296B91CDABA39B62AD2A4B1A06EF39D8002C3788B9NFE" TargetMode="External"/><Relationship Id="rId18" Type="http://schemas.openxmlformats.org/officeDocument/2006/relationships/hyperlink" Target="consultantplus://offline/ref=49A132E8A37ABAACDB9FCB74F4481779B4B840901B71136C401DA0C703234AB1C25244D4296B91C5A3A39B62AD2A4B1A06EF39D8002C3788B9NFE" TargetMode="External"/><Relationship Id="rId26" Type="http://schemas.openxmlformats.org/officeDocument/2006/relationships/image" Target="media/image8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9A132E8A37ABAACDB9FCB74F4481779B4B94C921777136C401DA0C703234AB1C25244D4296B91C4ABA39B62AD2A4B1A06EF39D8002C3788B9NFE" TargetMode="External"/><Relationship Id="rId17" Type="http://schemas.openxmlformats.org/officeDocument/2006/relationships/hyperlink" Target="consultantplus://offline/ref=49A132E8A37ABAACDB9FCB74F4481779B4BB49921B77136C401DA0C703234AB1C25244D4296B91C5A3A39B62AD2A4B1A06EF39D8002C3788B9NFE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49A132E8A37ABAACDB9FCB74F4481779B4B840911872136C401DA0C703234AB1D0521CD8286B8FC5A1B6CD33EBB7N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132E8A37ABAACDB9FCB74F4481779B4B44D9A1671136C401DA0C703234AB1C25244D4296B91C5A2A39B62AD2A4B1A06EF39D8002C3788B9NFE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132E8A37ABAACDB9FCB74F4481779B4B840911872136C401DA0C703234AB1C25244D4296B91C5A2A39B62AD2A4B1A06EF39D8002C3788B9NFE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hyperlink" Target="consultantplus://offline/ref=49A132E8A37ABAACDB9FCB74F4481779B4B94C921777136C401DA0C703234AB1D0521CD8286B8FC5A1B6CD33EBB7ND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132E8A37ABAACDB9FCB74F4481779B1BF49941C76136C401DA0C703234AB1C25244D42C6D96CFF7F98B66E47E460507F326D81E2CB3N5E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49A132E8A37ABAACDB9FCB74F4481779B4B840911872136C401DA0C703234AB1D0521CD8286B8FC5A1B6CD33EBB7NDE" TargetMode="External"/><Relationship Id="rId10" Type="http://schemas.openxmlformats.org/officeDocument/2006/relationships/hyperlink" Target="consultantplus://offline/ref=49A132E8A37ABAACDB9FCB74F4481779B4BB40921C76136C401DA0C703234AB1C25244D4296B90C6A3A39B62AD2A4B1A06EF39D8002C3788B9NF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132E8A37ABAACDB9FCB74F4481779B6B54C90187C4E664844ACC5042C15A6C51B48D5296B90C4A8FC9E77BC72471B18F03AC41C2E35B8N8E" TargetMode="External"/><Relationship Id="rId14" Type="http://schemas.openxmlformats.org/officeDocument/2006/relationships/hyperlink" Target="consultantplus://offline/ref=49A132E8A37ABAACDB9FCB74F4481779B1BF49941C76136C401DA0C703234AB1C25244D4296A91C7A3A39B62AD2A4B1A06EF39D8002C3788B9NFE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hyperlink" Target="consultantplus://offline/ref=49A132E8A37ABAACDB9FCB74F4481779B1BF49941C76136C401DA0C703234AB1D0521CD8286B8FC5A1B6CD33EBB7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2022-12-10T04:13:00Z</dcterms:created>
  <dcterms:modified xsi:type="dcterms:W3CDTF">2022-12-10T04:13:00Z</dcterms:modified>
</cp:coreProperties>
</file>