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AE" w:rsidRDefault="00EF42AE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F42AE" w:rsidRDefault="00EF42AE">
      <w:pPr>
        <w:pStyle w:val="ConsPlusNormal"/>
        <w:jc w:val="both"/>
        <w:outlineLvl w:val="0"/>
      </w:pPr>
    </w:p>
    <w:p w:rsidR="00EF42AE" w:rsidRDefault="00EF42AE">
      <w:pPr>
        <w:pStyle w:val="ConsPlusTitle"/>
        <w:jc w:val="center"/>
        <w:outlineLvl w:val="0"/>
      </w:pPr>
      <w:r>
        <w:t>МИНИСТЕРСТВО КУЛЬТУРЫ РОССИЙСКОЙ ФЕДЕРАЦИИ</w:t>
      </w:r>
    </w:p>
    <w:p w:rsidR="00EF42AE" w:rsidRDefault="00EF42AE">
      <w:pPr>
        <w:pStyle w:val="ConsPlusTitle"/>
        <w:jc w:val="center"/>
      </w:pPr>
    </w:p>
    <w:p w:rsidR="00EF42AE" w:rsidRDefault="00EF42AE">
      <w:pPr>
        <w:pStyle w:val="ConsPlusTitle"/>
        <w:jc w:val="center"/>
      </w:pPr>
      <w:r>
        <w:t>ПИСЬМО</w:t>
      </w:r>
    </w:p>
    <w:p w:rsidR="00EF42AE" w:rsidRDefault="00EF42AE">
      <w:pPr>
        <w:pStyle w:val="ConsPlusTitle"/>
        <w:jc w:val="center"/>
      </w:pPr>
      <w:r>
        <w:t>от 3 июля 2015 г. N 231-01-39-НМ</w:t>
      </w:r>
    </w:p>
    <w:p w:rsidR="00EF42AE" w:rsidRDefault="00EF42AE">
      <w:pPr>
        <w:pStyle w:val="ConsPlusNormal"/>
        <w:jc w:val="both"/>
      </w:pPr>
    </w:p>
    <w:p w:rsidR="00EF42AE" w:rsidRDefault="00EF42AE">
      <w:pPr>
        <w:pStyle w:val="ConsPlusNormal"/>
        <w:ind w:firstLine="540"/>
        <w:jc w:val="both"/>
      </w:pPr>
      <w:proofErr w:type="gramStart"/>
      <w:r>
        <w:t xml:space="preserve">Министерство культуры Российской Федерации в дополнение к письму от 21.05.2015 N 185-01-39-НМ сообщает, что в целях оказания методической помощи разработало Методические </w:t>
      </w:r>
      <w:hyperlink w:anchor="P19">
        <w:r>
          <w:rPr>
            <w:color w:val="0000FF"/>
          </w:rPr>
          <w:t>рекомендации</w:t>
        </w:r>
      </w:hyperlink>
      <w:r>
        <w:t xml:space="preserve"> по введению нормирования труда в государственных (муниципальных) учреждениях культуры с указаниями особенностей введения типовых норм труда в библиотеках, фильмофондах, зоопарках, музеях и других организациях музейного типа, утвержденных приказами Минкультуры России от 30.12.2014 </w:t>
      </w:r>
      <w:hyperlink r:id="rId6">
        <w:r>
          <w:rPr>
            <w:color w:val="0000FF"/>
          </w:rPr>
          <w:t>N 2477</w:t>
        </w:r>
      </w:hyperlink>
      <w:r>
        <w:t xml:space="preserve"> и N 2478.</w:t>
      </w:r>
      <w:proofErr w:type="gramEnd"/>
    </w:p>
    <w:p w:rsidR="00EF42AE" w:rsidRDefault="00EF42AE">
      <w:pPr>
        <w:pStyle w:val="ConsPlusNormal"/>
        <w:spacing w:before="200"/>
        <w:ind w:firstLine="540"/>
        <w:jc w:val="both"/>
      </w:pPr>
      <w:r>
        <w:t xml:space="preserve">Методические </w:t>
      </w:r>
      <w:hyperlink w:anchor="P19">
        <w:r>
          <w:rPr>
            <w:color w:val="0000FF"/>
          </w:rPr>
          <w:t>рекомендации</w:t>
        </w:r>
      </w:hyperlink>
      <w:r>
        <w:t xml:space="preserve"> размещены на официальном сайте Минкультуры России mkrf.ru в разделах "Главная", "Министерство", "Департаменты", "Департамент экономики и финансов", "Методические рекомендации" и могут быть использованы в работе.</w:t>
      </w:r>
    </w:p>
    <w:p w:rsidR="00EF42AE" w:rsidRDefault="00EF42AE">
      <w:pPr>
        <w:pStyle w:val="ConsPlusNormal"/>
        <w:spacing w:before="200"/>
        <w:ind w:firstLine="540"/>
        <w:jc w:val="both"/>
      </w:pPr>
      <w:proofErr w:type="gramStart"/>
      <w:r>
        <w:t xml:space="preserve">Сообщаем о необходимости в соответствии с планами мероприятий ("дорожными картами") обеспечить внедрение типовых отраслевых норм труда в указанных учреждениях и направить соответствующую информацию в рамках отчета по мониторингу </w:t>
      </w:r>
      <w:hyperlink r:id="rId7">
        <w:r>
          <w:rPr>
            <w:color w:val="0000FF"/>
          </w:rPr>
          <w:t>Программы</w:t>
        </w:r>
      </w:hyperlink>
      <w:r>
        <w:t xml:space="preserve">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26.11.2012 N 2190-р, в Минкультуры России в установленные сроки.</w:t>
      </w:r>
      <w:proofErr w:type="gramEnd"/>
    </w:p>
    <w:p w:rsidR="00EF42AE" w:rsidRDefault="00EF42AE">
      <w:pPr>
        <w:pStyle w:val="ConsPlusNormal"/>
        <w:spacing w:before="200"/>
        <w:ind w:firstLine="540"/>
        <w:jc w:val="both"/>
      </w:pPr>
      <w:r>
        <w:t>Одновременно сообщаем, что Минкультуры России в настоящее время разрабатывает информационный сервис по формированию штатных расписаний учреждений культуры на основе утвержденных норм труда, который позволит рассчитывать нормативную численность работников учреждения в соответствии с выполняемыми в учреждении объемами работ. Информация о запуске информационного сервиса будет доведена дополнительно после завершения апробации в пилотных подведомственных учреждениях культуры.</w:t>
      </w:r>
    </w:p>
    <w:p w:rsidR="00EF42AE" w:rsidRDefault="00EF42AE">
      <w:pPr>
        <w:pStyle w:val="ConsPlusNormal"/>
        <w:jc w:val="both"/>
      </w:pPr>
    </w:p>
    <w:p w:rsidR="00EF42AE" w:rsidRDefault="00EF42AE">
      <w:pPr>
        <w:pStyle w:val="ConsPlusNormal"/>
        <w:jc w:val="right"/>
      </w:pPr>
      <w:r>
        <w:t>Н.А.МАЛАКОВ</w:t>
      </w:r>
    </w:p>
    <w:p w:rsidR="00EF42AE" w:rsidRDefault="00EF42AE">
      <w:pPr>
        <w:pStyle w:val="ConsPlusNormal"/>
        <w:jc w:val="both"/>
      </w:pPr>
    </w:p>
    <w:p w:rsidR="00EF42AE" w:rsidRDefault="00EF42AE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EF42AE" w:rsidRDefault="00EF42AE">
      <w:pPr>
        <w:pStyle w:val="ConsPlusNormal"/>
        <w:jc w:val="both"/>
      </w:pPr>
    </w:p>
    <w:p w:rsidR="00EF42AE" w:rsidRDefault="00EF42AE">
      <w:pPr>
        <w:pStyle w:val="ConsPlusTitle"/>
        <w:jc w:val="center"/>
      </w:pPr>
      <w:bookmarkStart w:id="1" w:name="P19"/>
      <w:bookmarkEnd w:id="1"/>
      <w:r>
        <w:t>МЕТОДИЧЕСКИЕ РЕКОМЕНДАЦИИ</w:t>
      </w:r>
    </w:p>
    <w:p w:rsidR="00EF42AE" w:rsidRDefault="00EF42AE">
      <w:pPr>
        <w:pStyle w:val="ConsPlusTitle"/>
        <w:jc w:val="center"/>
      </w:pPr>
      <w:r>
        <w:t xml:space="preserve">ПО ВВЕДЕНИЮ НОРМИРОВАНИЯ ТРУДА В </w:t>
      </w:r>
      <w:proofErr w:type="gramStart"/>
      <w:r>
        <w:t>ГОСУДАРСТВЕННЫХ</w:t>
      </w:r>
      <w:proofErr w:type="gramEnd"/>
    </w:p>
    <w:p w:rsidR="00EF42AE" w:rsidRDefault="00EF42AE">
      <w:pPr>
        <w:pStyle w:val="ConsPlusTitle"/>
        <w:jc w:val="center"/>
      </w:pPr>
      <w:r>
        <w:t xml:space="preserve">(МУНИЦИПАЛЬНЫХ) </w:t>
      </w:r>
      <w:proofErr w:type="gramStart"/>
      <w:r>
        <w:t>УЧРЕЖДЕНИЯХ</w:t>
      </w:r>
      <w:proofErr w:type="gramEnd"/>
      <w:r>
        <w:t xml:space="preserve"> КУЛЬТУРЫ С УКАЗАНИЯМИ</w:t>
      </w:r>
    </w:p>
    <w:p w:rsidR="00EF42AE" w:rsidRDefault="00EF42AE">
      <w:pPr>
        <w:pStyle w:val="ConsPlusTitle"/>
        <w:jc w:val="center"/>
      </w:pPr>
      <w:r>
        <w:t>ОСОБЕННОСТЕЙ ВВЕДЕНИЯ ТИПОВЫХ НОРМ ТРУДА В БИБЛИОТЕКАХ,</w:t>
      </w:r>
    </w:p>
    <w:p w:rsidR="00EF42AE" w:rsidRDefault="00EF42AE">
      <w:pPr>
        <w:pStyle w:val="ConsPlusTitle"/>
        <w:jc w:val="center"/>
      </w:pPr>
      <w:proofErr w:type="gramStart"/>
      <w:r>
        <w:t>ФИЛЬМОФОНДАХ</w:t>
      </w:r>
      <w:proofErr w:type="gramEnd"/>
      <w:r>
        <w:t>, ЗООПАРКАХ, МУЗЕЯХ И ДРУГИХ</w:t>
      </w:r>
    </w:p>
    <w:p w:rsidR="00EF42AE" w:rsidRDefault="00EF42AE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МУЗЕЙНОГО ТИПА</w:t>
      </w:r>
    </w:p>
    <w:p w:rsidR="00EF42AE" w:rsidRDefault="00EF42AE">
      <w:pPr>
        <w:pStyle w:val="ConsPlusNormal"/>
        <w:jc w:val="both"/>
      </w:pPr>
    </w:p>
    <w:p w:rsidR="00EF42AE" w:rsidRDefault="00EF42AE">
      <w:pPr>
        <w:pStyle w:val="ConsPlusNormal"/>
        <w:jc w:val="center"/>
        <w:outlineLvl w:val="1"/>
      </w:pPr>
      <w:r>
        <w:t>Общие положения</w:t>
      </w:r>
    </w:p>
    <w:p w:rsidR="00EF42AE" w:rsidRDefault="00EF42AE">
      <w:pPr>
        <w:pStyle w:val="ConsPlusNormal"/>
        <w:jc w:val="both"/>
      </w:pPr>
    </w:p>
    <w:p w:rsidR="00EF42AE" w:rsidRDefault="00EF42AE">
      <w:pPr>
        <w:pStyle w:val="ConsPlusNormal"/>
        <w:ind w:firstLine="540"/>
        <w:jc w:val="both"/>
      </w:pPr>
      <w:proofErr w:type="gramStart"/>
      <w:r>
        <w:t xml:space="preserve">Настоящие Методические рекомендации разработаны в дополнение к </w:t>
      </w:r>
      <w:hyperlink r:id="rId8">
        <w:r>
          <w:rPr>
            <w:color w:val="0000FF"/>
          </w:rPr>
          <w:t>Методическим рекомендациям</w:t>
        </w:r>
      </w:hyperlink>
      <w:r>
        <w:t xml:space="preserve"> по формированию штатной численности государственных (муниципальных) учреждений культуры (библиотек, фильмофондов, зоопарков, музеев и других организаций музейного типа) с учетом отраслевой специфики, утвержденных </w:t>
      </w:r>
      <w:hyperlink r:id="rId9">
        <w:r>
          <w:rPr>
            <w:color w:val="0000FF"/>
          </w:rPr>
          <w:t>приказом</w:t>
        </w:r>
      </w:hyperlink>
      <w:r>
        <w:t xml:space="preserve"> Минкультуры России от 30.12.2014 N 2479, в целях оказания методической помощи по введению нормирования труда в государственных (муниципальных) учреждениях культуры, в том числе типовых отраслевых норм труда в</w:t>
      </w:r>
      <w:proofErr w:type="gramEnd"/>
      <w:r>
        <w:t xml:space="preserve"> </w:t>
      </w:r>
      <w:proofErr w:type="gramStart"/>
      <w:r>
        <w:t>библиотеках</w:t>
      </w:r>
      <w:proofErr w:type="gramEnd"/>
      <w:r>
        <w:t>, фильмофондах, зоопарках, музеях и других организациях музейного типа (далее - учреждения), учитывая специфику и особенности указанных учреждений.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Методические рекомендации предназначены для использования в работе: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учреждениями культуры, находящимися в ведении Минкультуры России;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федеральными органами исполнительной власти, имеющими в ведении учреждения культуры;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учреждениями культуры - главными распорядителями средств федерального бюджета;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lastRenderedPageBreak/>
        <w:t>органами государственной власти субъектов Российской Федерации;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органами местного самоуправления;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государственные (муниципальные) учреждения культуры.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В Методических рекомендациях даны общие подходы по введению нормирования труда в государственных (муниципальных) учреждениях культуры, а также указания по особенностям введения типовых отраслевых норм труда в библиотеках, фильмофондах, зоопарках, музеях и других организациях музейного типа.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Методические рекомендации состоят из следующих разделов: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1) общие подходы по введению нормирования труда в государственных (муниципальных) учреждениях сферы культуры;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2) введение типовых отраслевых норм труда в библиотеках, фильмофондах, зоопарках, музеях и других организациях музейного типа;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3) особенности введения типовых отраслевых норм труда на работы, выполняемые в библиотеках;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4) особенности введения типовых отраслевых норм труда на работы, выполняемые в фильмофондах;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5) особенности введения типовых отраслевых норм труда на работы, выполняемые в зоопарках;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6) особенности введения типовых отраслевых норм труда на работы, выполняемые в музеях и других организациях музейного типа.</w:t>
      </w:r>
    </w:p>
    <w:p w:rsidR="00EF42AE" w:rsidRDefault="00EF42AE">
      <w:pPr>
        <w:pStyle w:val="ConsPlusNormal"/>
        <w:jc w:val="both"/>
      </w:pPr>
    </w:p>
    <w:p w:rsidR="00EF42AE" w:rsidRDefault="00EF42AE">
      <w:pPr>
        <w:pStyle w:val="ConsPlusNormal"/>
        <w:jc w:val="center"/>
        <w:outlineLvl w:val="1"/>
      </w:pPr>
      <w:r>
        <w:t>I. Общие подходы по введению нормирования</w:t>
      </w:r>
    </w:p>
    <w:p w:rsidR="00EF42AE" w:rsidRDefault="00EF42AE">
      <w:pPr>
        <w:pStyle w:val="ConsPlusNormal"/>
        <w:jc w:val="center"/>
      </w:pPr>
      <w:r>
        <w:t>труда в государственных (муниципальных) учреждениях</w:t>
      </w:r>
    </w:p>
    <w:p w:rsidR="00EF42AE" w:rsidRDefault="00EF42AE">
      <w:pPr>
        <w:pStyle w:val="ConsPlusNormal"/>
        <w:jc w:val="center"/>
      </w:pPr>
      <w:r>
        <w:t>сферы культуры</w:t>
      </w:r>
    </w:p>
    <w:p w:rsidR="00EF42AE" w:rsidRDefault="00EF42AE">
      <w:pPr>
        <w:pStyle w:val="ConsPlusNormal"/>
        <w:jc w:val="both"/>
      </w:pPr>
    </w:p>
    <w:p w:rsidR="00EF42AE" w:rsidRDefault="00EF42AE">
      <w:pPr>
        <w:pStyle w:val="ConsPlusNormal"/>
        <w:ind w:firstLine="540"/>
        <w:jc w:val="both"/>
      </w:pPr>
      <w:r>
        <w:t>Нормирование труда представляет собой составную часть (функцию) управления и включает в себя определение необходимых затрат труда (времени) на выполнение работ (изготовление единицы продукции, оказание услуг) отдельными работниками (группами работников) и установление на этой основе норм труда.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 xml:space="preserve">Введение нормирования труда в государственных (муниципальных) учреждениях осуществляется в соответствии с </w:t>
      </w:r>
      <w:hyperlink r:id="rId10">
        <w:r>
          <w:rPr>
            <w:color w:val="0000FF"/>
          </w:rPr>
          <w:t>Методическими рекомендациями</w:t>
        </w:r>
      </w:hyperlink>
      <w:r>
        <w:t xml:space="preserve"> по разработке систем нормирования труда в государственных (муниципальных) учреждениях, утвержденных приказом Минтруда России от 30.09.2013 N 504.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Введение типовых отраслевых норм труда осуществляется с учетом организационно-технических условий выполнения технологических (трудовых) процессов в учреждениях с использованием оборудования, материалов, технологий и методик выполнения работ и других организационно-технических факторов, которые могут существенно повлиять на величину нормы труда.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1. При расчете норм труда и штатной численности в государственных (муниципальных) учреждениях используются: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- типовые отраслевые нормы труда;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- типовые межотраслевые нормы труда;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- типовые профессиональные и иные нормы труда с учетом специфики конкретного учреждения &lt;1&gt;;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 учетом специфики учреждения допускается использование установленных норм труда для учреждений и организаций других отраслей, необходимых для достижения определенных </w:t>
      </w:r>
      <w:r>
        <w:lastRenderedPageBreak/>
        <w:t>уставом целей деятельности этого учреждения.</w:t>
      </w:r>
    </w:p>
    <w:p w:rsidR="00EF42AE" w:rsidRDefault="00EF42AE">
      <w:pPr>
        <w:pStyle w:val="ConsPlusNormal"/>
        <w:jc w:val="both"/>
      </w:pPr>
    </w:p>
    <w:p w:rsidR="00EF42AE" w:rsidRDefault="00EF42AE">
      <w:pPr>
        <w:pStyle w:val="ConsPlusNormal"/>
        <w:ind w:firstLine="540"/>
        <w:jc w:val="both"/>
      </w:pPr>
      <w:r>
        <w:t>- регламенты выполнения работ по типам учреждений (</w:t>
      </w:r>
      <w:hyperlink r:id="rId11">
        <w:r>
          <w:rPr>
            <w:color w:val="0000FF"/>
          </w:rPr>
          <w:t>ЕКС</w:t>
        </w:r>
      </w:hyperlink>
      <w:r>
        <w:t xml:space="preserve">, </w:t>
      </w:r>
      <w:hyperlink r:id="rId12">
        <w:r>
          <w:rPr>
            <w:color w:val="0000FF"/>
          </w:rPr>
          <w:t>ЕТКС</w:t>
        </w:r>
      </w:hyperlink>
      <w:r>
        <w:t xml:space="preserve">, профессиональные </w:t>
      </w:r>
      <w:hyperlink r:id="rId13">
        <w:r>
          <w:rPr>
            <w:color w:val="0000FF"/>
          </w:rPr>
          <w:t>стандарты</w:t>
        </w:r>
      </w:hyperlink>
      <w:r>
        <w:t>).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При этом рекомендуется учитывать все факторы, влияющие на величину затрат труда, и условия выполнения работ &lt;1&gt;.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4">
        <w:r>
          <w:rPr>
            <w:color w:val="0000FF"/>
          </w:rPr>
          <w:t>Пункт 4</w:t>
        </w:r>
      </w:hyperlink>
      <w:r>
        <w:t xml:space="preserve"> Методических рекомендаций, утвержденных приказом Минкультуры России от 30.12.2014 N 2479.</w:t>
      </w:r>
    </w:p>
    <w:p w:rsidR="00EF42AE" w:rsidRDefault="00EF42AE">
      <w:pPr>
        <w:pStyle w:val="ConsPlusNormal"/>
        <w:jc w:val="both"/>
      </w:pPr>
    </w:p>
    <w:p w:rsidR="00EF42AE" w:rsidRDefault="00EF42AE">
      <w:pPr>
        <w:pStyle w:val="ConsPlusNormal"/>
        <w:ind w:firstLine="540"/>
        <w:jc w:val="both"/>
      </w:pPr>
      <w:r>
        <w:t>2. Разработка нормирования труда в учреждениях должна осуществляться специалистами, обладающими необходимыми знаниями и умениями в сфере организации и нормирования труда. С учетом численности работников и специфики деятельности учреждения рекомендуется создание в учреждениях специализированного структурного подразделения (службы) для выполнения работ, связанных с нормированием труда. При его отсутствии нормирование труда может быть возложено на структурное подразделение (работника), в ведении которого находятся вопросы кадрового обеспечения деятельности учреждения, организации труда и заработной платы &lt;1&gt;.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5">
        <w:r>
          <w:rPr>
            <w:color w:val="0000FF"/>
          </w:rPr>
          <w:t>Пункт 6</w:t>
        </w:r>
      </w:hyperlink>
      <w:r>
        <w:t xml:space="preserve"> Методических рекомендаций, утвержденных приказом Минтруда России от 30.09.2013 N 504.</w:t>
      </w:r>
    </w:p>
    <w:p w:rsidR="00EF42AE" w:rsidRDefault="00EF42AE">
      <w:pPr>
        <w:pStyle w:val="ConsPlusNormal"/>
        <w:jc w:val="both"/>
      </w:pPr>
    </w:p>
    <w:p w:rsidR="00EF42AE" w:rsidRDefault="00EF42AE">
      <w:pPr>
        <w:pStyle w:val="ConsPlusNormal"/>
        <w:ind w:firstLine="540"/>
        <w:jc w:val="both"/>
      </w:pPr>
      <w:r>
        <w:t>3. При планировании мер по повышению эффективности оказания государственных (муниципальных) услуг типовые нормы рекомендуется использовать: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- для учреждений, где организационно-технические условия ниже уровня, на который они рассчитаны;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- при исследовании затрат рабочего времени и анализе потерь рабочего времени.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После анализа организационно-технических условий и потерь рабочего времени нормы труда должны быть пересмотрены.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4. Разрабатываемые нормы должны быть технически обоснованными, т.е. нормы, установленные аналитическим методом на основе комплексного обоснования величины затрат труда применительно к той технике и технологии, с использованием которых должна быть выполнена данная работа.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При закупке в установленном порядке нового оборудования учреждениям рекомендуется в конкурсной документации предусматривать обязанность организаций и индивидуальных предпринимателей, участвующих в конкурсе, проводить сравнительный расчет влияния на норму труда внедрения закупаемого оборудования.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5. Ответственность за разработку, пересмотр и утверждение норм труда в государственных (муниципальных) учреждениях, а также на их основе формирование штатной численности возлагается на руководителя учреждения.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Пересмотр норм труда на уровне учреждений рекомендуется осуществлять через каждые 5 лет с даты их утверждения и введения в действие, а также при изменении организации труда, внедрении новой техники и технологии.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6. Формализацию норм труда учреждений рекомендуется осуществлять в Положении о системе нормирования труда учреждения (далее - Положение), которое с учетом мнения представительного органа работников либо утверждается локальным нормативным актом учреждения, либо включается в качестве отдельного раздела в коллективный договор в общем порядке в соответствии с трудовым законодательством Российской Федерации.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В Положение рекомендуется включать следующие разделы: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 xml:space="preserve">а) применяемые в учреждении нормы труда. </w:t>
      </w:r>
      <w:proofErr w:type="gramStart"/>
      <w:r>
        <w:t xml:space="preserve">В данном разделе приводятся: ссылки на </w:t>
      </w:r>
      <w:r>
        <w:lastRenderedPageBreak/>
        <w:t>типовые нормы труда, используемые при определении норм труда; применяемые методики определения нормы численности на основе типовой нормы времени; расчет коррекции типовых норм труда с учетом организационно-технических условий (если проводилась коррекция); методы и способы установления норм труда по отдельным должностям (профессиям рабочих), видам работ (функциям), по которым отсутствуют типовые нормы труда;</w:t>
      </w:r>
      <w:proofErr w:type="gramEnd"/>
    </w:p>
    <w:p w:rsidR="00EF42AE" w:rsidRDefault="00EF42AE">
      <w:pPr>
        <w:pStyle w:val="ConsPlusNormal"/>
        <w:spacing w:before="200"/>
        <w:ind w:firstLine="540"/>
        <w:jc w:val="both"/>
      </w:pPr>
      <w:r>
        <w:t>б) порядок введения норм труда;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в) порядок организации замены и пересмотра норм труда;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г) меры, направленные на соблюдение установленных норм труда.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7. При заключении трудового договора работник должен быть проинформирован о нормах труда. В случае установления работнику норм времени на выполнение работ (оказание услуг) или норм обслуживания, рекомендуется в трудовом договоре с работником указать, что их выполнение осуществляется в пределах установленной ему продолжительности рабочего времени.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Работники извещаются о внедрении новых норм труда не позднее, чем за два месяца до их введения в действие &lt;1&gt;. О снижении ошибочных норм труда работники могут быть уведомлены и в более короткий срок, определяемый с учетом мнения представительного органа работников.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6">
        <w:r>
          <w:rPr>
            <w:color w:val="0000FF"/>
          </w:rPr>
          <w:t>Статьи 161</w:t>
        </w:r>
      </w:hyperlink>
      <w:r>
        <w:t xml:space="preserve"> - </w:t>
      </w:r>
      <w:hyperlink r:id="rId17">
        <w:r>
          <w:rPr>
            <w:color w:val="0000FF"/>
          </w:rPr>
          <w:t>162</w:t>
        </w:r>
      </w:hyperlink>
      <w:r>
        <w:t xml:space="preserve"> Трудового кодекса Российской Федерации.</w:t>
      </w:r>
    </w:p>
    <w:p w:rsidR="00EF42AE" w:rsidRDefault="00EF42AE">
      <w:pPr>
        <w:pStyle w:val="ConsPlusNormal"/>
        <w:jc w:val="both"/>
      </w:pPr>
    </w:p>
    <w:p w:rsidR="00EF42AE" w:rsidRDefault="00EF42AE">
      <w:pPr>
        <w:pStyle w:val="ConsPlusNormal"/>
        <w:ind w:firstLine="540"/>
        <w:jc w:val="both"/>
      </w:pPr>
      <w:r>
        <w:t>Форма извещения о внедрении новых норм труда определяется учреждениями самостоятельно. При этом рекомендуется указать ранее действовавшие нормы труда; новые нормы труда; факторы, послужившие основанием введения новых норм труда.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8. Перед введением новых норм труда рекомендуется провести инструктаж и обучение работников наиболее эффективным приемам и методам выполнения работ, при этом могут быть использованы как индивидуальные, так и групповые формы их проведения.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Все вновь принятые на работу работники должны проходить вводный (общий) инструктаж по технике безопасности, охране труда и противопожарной безопасности, затем первичный инструктаж непосредственно на рабочем месте, в процессе работы - повторные инструктажи и при необходимости - внеплановые и целевые инструктажи.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9. При освоении норм труда рекомендуется провести следующие мероприятия: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а) проанализировать степень освоения работ каждым работником на основе данных о выполнении норм;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б) в связи с введением новой техники и технологии провести обучение работников с целью необходимости приобретения новых теоретических и практических знаний для рационального использования приемов труда работниками.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10. При освоении новых видов работ (стандартов оказания государственных (муниципальных) услуг) или несоответствии фактических организационно-технических условий выполнения работ, запроектированных во вновь вводимых нормах труда, рекомендуется применять поправочные коэффициенты.</w:t>
      </w:r>
    </w:p>
    <w:p w:rsidR="00EF42AE" w:rsidRDefault="00EF42AE">
      <w:pPr>
        <w:pStyle w:val="ConsPlusNormal"/>
        <w:jc w:val="both"/>
      </w:pPr>
    </w:p>
    <w:p w:rsidR="00EF42AE" w:rsidRDefault="00EF42AE">
      <w:pPr>
        <w:pStyle w:val="ConsPlusNormal"/>
        <w:jc w:val="center"/>
        <w:outlineLvl w:val="1"/>
      </w:pPr>
      <w:r>
        <w:t>II. Введение типовых отраслевых норм труда</w:t>
      </w:r>
    </w:p>
    <w:p w:rsidR="00EF42AE" w:rsidRDefault="00EF42AE">
      <w:pPr>
        <w:pStyle w:val="ConsPlusNormal"/>
        <w:jc w:val="center"/>
      </w:pPr>
      <w:r>
        <w:t>в библиотеках, фильмофондах, зоопарках, музеях и других</w:t>
      </w:r>
    </w:p>
    <w:p w:rsidR="00EF42AE" w:rsidRDefault="00EF42AE">
      <w:pPr>
        <w:pStyle w:val="ConsPlusNormal"/>
        <w:jc w:val="center"/>
      </w:pPr>
      <w:proofErr w:type="gramStart"/>
      <w:r>
        <w:t>организациях</w:t>
      </w:r>
      <w:proofErr w:type="gramEnd"/>
      <w:r>
        <w:t xml:space="preserve"> музейного типа</w:t>
      </w:r>
    </w:p>
    <w:p w:rsidR="00EF42AE" w:rsidRDefault="00EF42AE">
      <w:pPr>
        <w:pStyle w:val="ConsPlusNormal"/>
        <w:jc w:val="both"/>
      </w:pPr>
    </w:p>
    <w:p w:rsidR="00EF42AE" w:rsidRDefault="00EF42AE">
      <w:pPr>
        <w:pStyle w:val="ConsPlusNormal"/>
        <w:ind w:firstLine="540"/>
        <w:jc w:val="both"/>
      </w:pPr>
      <w:r>
        <w:t>11. Введение типовых отраслевых норм труда в учреждениях осуществляется на основе приказов Минкультуры России:</w:t>
      </w:r>
    </w:p>
    <w:p w:rsidR="00EF42AE" w:rsidRDefault="00EF42AE">
      <w:pPr>
        <w:pStyle w:val="ConsPlusNormal"/>
        <w:spacing w:before="200"/>
        <w:ind w:firstLine="540"/>
        <w:jc w:val="both"/>
      </w:pPr>
      <w:proofErr w:type="gramStart"/>
      <w:r>
        <w:t xml:space="preserve">от 30.12.2014 </w:t>
      </w:r>
      <w:hyperlink r:id="rId18">
        <w:r>
          <w:rPr>
            <w:color w:val="0000FF"/>
          </w:rPr>
          <w:t>N 2477</w:t>
        </w:r>
      </w:hyperlink>
      <w:r>
        <w:t xml:space="preserve"> "Об утверждении типовых отраслевых норм труда на работы, выполняемые в библиотеках" (зарегистрирован в Минюсте России 12.05.2015, регистрационный N 37244);</w:t>
      </w:r>
      <w:proofErr w:type="gramEnd"/>
    </w:p>
    <w:p w:rsidR="00EF42AE" w:rsidRDefault="00EF42AE">
      <w:pPr>
        <w:pStyle w:val="ConsPlusNormal"/>
        <w:spacing w:before="200"/>
        <w:ind w:firstLine="540"/>
        <w:jc w:val="both"/>
      </w:pPr>
      <w:r>
        <w:t xml:space="preserve">от 30.12.2014 </w:t>
      </w:r>
      <w:hyperlink r:id="rId19">
        <w:r>
          <w:rPr>
            <w:color w:val="0000FF"/>
          </w:rPr>
          <w:t>N 2478</w:t>
        </w:r>
      </w:hyperlink>
      <w:r>
        <w:t xml:space="preserve"> "Об утверждении типовых отраслевых норм труда на работы, выполняемые в зоопарках, фильмофондах, музеях и других организациях музейного типа" </w:t>
      </w:r>
      <w:r>
        <w:lastRenderedPageBreak/>
        <w:t>(</w:t>
      </w:r>
      <w:proofErr w:type="gramStart"/>
      <w:r>
        <w:t>зарегистрирован</w:t>
      </w:r>
      <w:proofErr w:type="gramEnd"/>
      <w:r>
        <w:t xml:space="preserve"> в Минюсте России 07.05.2015, регистрационный N 37153).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12. Типовые отраслевые нормы труда предназначены для формирования обоснованных оптимальных показателей трудоемкости выполнения работ в государственных (муниципальных) учреждениях культуры, планирования работ, выдачи нормированных заданий, а также для определения необходимой минимальной штатной численности персонала, позволяющей осуществлять усредненный набор услуг, закрепляемых за каждым типом учреждений культуры при типовых организационно-технических условиях деятельности.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13. Типовые отраслевые нормы рекомендуются для применения в соответствующих государственных (муниципальных) учреждениях, организациях культуры независимо от форм собственности и организационно-правовых форм.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14. В основу разработки типовых отраслевых норм труда на работы, выполняемые в учреждениях, включено следующее: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- положения и нормативные правовые акты, регламентирующие деятельность Минкультуры России;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 xml:space="preserve">- результативные исследования (фотографии рабочего времени, хронометраж, </w:t>
      </w:r>
      <w:proofErr w:type="spellStart"/>
      <w:r>
        <w:t>самофотография</w:t>
      </w:r>
      <w:proofErr w:type="spellEnd"/>
      <w:r>
        <w:t xml:space="preserve"> и т.д.);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- показатели деятельности по государственным (муниципальным) учреждениям;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- результаты интервьюирования руководителей, специалистов и работников государственных (муниципальных) учреждений и организаций культуры;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- статистические материалы.</w:t>
      </w:r>
    </w:p>
    <w:p w:rsidR="00EF42AE" w:rsidRDefault="00EF42AE">
      <w:pPr>
        <w:pStyle w:val="ConsPlusNormal"/>
        <w:jc w:val="both"/>
      </w:pPr>
    </w:p>
    <w:p w:rsidR="00EF42AE" w:rsidRDefault="00EF42AE">
      <w:pPr>
        <w:pStyle w:val="ConsPlusNormal"/>
        <w:jc w:val="center"/>
        <w:outlineLvl w:val="1"/>
      </w:pPr>
      <w:r>
        <w:t>III. Особенности введения типовых отраслевых норм труда</w:t>
      </w:r>
    </w:p>
    <w:p w:rsidR="00EF42AE" w:rsidRDefault="00EF42AE">
      <w:pPr>
        <w:pStyle w:val="ConsPlusNormal"/>
        <w:jc w:val="center"/>
      </w:pPr>
      <w:r>
        <w:t>на работы, выполняемые в библиотеках</w:t>
      </w:r>
    </w:p>
    <w:p w:rsidR="00EF42AE" w:rsidRDefault="00EF42AE">
      <w:pPr>
        <w:pStyle w:val="ConsPlusNormal"/>
        <w:jc w:val="both"/>
      </w:pPr>
    </w:p>
    <w:p w:rsidR="00EF42AE" w:rsidRDefault="00EF42AE">
      <w:pPr>
        <w:pStyle w:val="ConsPlusNormal"/>
        <w:ind w:firstLine="540"/>
        <w:jc w:val="both"/>
      </w:pPr>
      <w:r>
        <w:t xml:space="preserve">15. Типовые отраслевые </w:t>
      </w:r>
      <w:hyperlink r:id="rId20">
        <w:r>
          <w:rPr>
            <w:color w:val="0000FF"/>
          </w:rPr>
          <w:t>нормы</w:t>
        </w:r>
      </w:hyperlink>
      <w:r>
        <w:t xml:space="preserve"> труда на работы, выполняемые в библиотеках, утвержденные приказом Минкультуры России от 30.12.2014 N 2477, предназначены для введения </w:t>
      </w:r>
      <w:proofErr w:type="gramStart"/>
      <w:r>
        <w:t>в</w:t>
      </w:r>
      <w:proofErr w:type="gramEnd"/>
      <w:r>
        <w:t>: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 xml:space="preserve">государственных (муниципальных) </w:t>
      </w:r>
      <w:proofErr w:type="gramStart"/>
      <w:r>
        <w:t>библиотеках</w:t>
      </w:r>
      <w:proofErr w:type="gramEnd"/>
      <w:r>
        <w:t xml:space="preserve"> без использования автоматизированных систем управления процессами (АСУП) и на основе АСУП;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 xml:space="preserve">специализированных </w:t>
      </w:r>
      <w:proofErr w:type="gramStart"/>
      <w:r>
        <w:t>библиотеках</w:t>
      </w:r>
      <w:proofErr w:type="gramEnd"/>
      <w:r>
        <w:t xml:space="preserve"> для инвалидов по зрению;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детских, юношеских библиотеках, в библиотеках научно-исследовательских институтов (НИИ), образовательных учреждений без использования АСУП и на основе АСУП.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Типовые отраслевые нормы труда разработаны на основе научных исследований и с учетом апробаций в следующих учреждениях: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ФГБУК "Российская государственная библиотека";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Научная библиотека ФГБОУ ВПО "Московский государственный университет культуры и искусств";</w:t>
      </w:r>
    </w:p>
    <w:p w:rsidR="00EF42AE" w:rsidRDefault="00EF42AE">
      <w:pPr>
        <w:pStyle w:val="ConsPlusNormal"/>
        <w:spacing w:before="200"/>
        <w:ind w:firstLine="540"/>
        <w:jc w:val="both"/>
      </w:pPr>
      <w:proofErr w:type="gramStart"/>
      <w:r>
        <w:t>Научная-музыкальная</w:t>
      </w:r>
      <w:proofErr w:type="gramEnd"/>
      <w:r>
        <w:t xml:space="preserve"> библиотека имени С.И. Танеева ФГБОУ ВПО "Московская государственная консерватория (университет) имени П.И. Чайковского";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ФГБУК "Российская государственная детская библиотека";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ФГБУК "Российская государственная библиотека для молодежи";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ФГБУК "Российская государственная библиотека для слепых".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 xml:space="preserve">16. </w:t>
      </w:r>
      <w:proofErr w:type="gramStart"/>
      <w:r>
        <w:t xml:space="preserve">Типовыми отраслевыми </w:t>
      </w:r>
      <w:hyperlink r:id="rId21">
        <w:r>
          <w:rPr>
            <w:color w:val="0000FF"/>
          </w:rPr>
          <w:t>нормами</w:t>
        </w:r>
      </w:hyperlink>
      <w:r>
        <w:t xml:space="preserve"> труда охвачены основные виды работ, выполняемые в библиотеках, в том числе: научная (исследовательская, методическая, информационная), перевод и переработка печатных текстов с иностранных языков на русский и с русского на иностранные языки, выставочная работа, научное редактирование рукописей, работы научно-организационного </w:t>
      </w:r>
      <w:r>
        <w:lastRenderedPageBreak/>
        <w:t>характера, работы по соблюдению обеспеченности фондами, издательская работа, а также автоматизированные виды работ.</w:t>
      </w:r>
      <w:proofErr w:type="gramEnd"/>
    </w:p>
    <w:p w:rsidR="00EF42AE" w:rsidRDefault="00EF42AE">
      <w:pPr>
        <w:pStyle w:val="ConsPlusNormal"/>
        <w:spacing w:before="200"/>
        <w:ind w:firstLine="540"/>
        <w:jc w:val="both"/>
      </w:pPr>
      <w:r>
        <w:t xml:space="preserve">17. Типовые отраслевые </w:t>
      </w:r>
      <w:hyperlink r:id="rId22">
        <w:r>
          <w:rPr>
            <w:color w:val="0000FF"/>
          </w:rPr>
          <w:t>нормы</w:t>
        </w:r>
      </w:hyperlink>
      <w:r>
        <w:t xml:space="preserve"> приведены с указанием наименования процесса, операции, состава работы, единиц измерения, нормы времени в минутах. </w:t>
      </w:r>
      <w:proofErr w:type="gramStart"/>
      <w:r>
        <w:t>В частности, типовые отраслевые нормы труда на работы, выполняемые в государственных (муниципальных) библиотеках (без использования АСУП), включают, в том числе, комплектование библиотечного фонда, прием и учет поступивших документов, обслуживание читателей, редактирование рукописей и т.д.</w:t>
      </w:r>
      <w:proofErr w:type="gramEnd"/>
    </w:p>
    <w:p w:rsidR="00EF42AE" w:rsidRDefault="00EF42AE">
      <w:pPr>
        <w:pStyle w:val="ConsPlusNormal"/>
        <w:spacing w:before="200"/>
        <w:ind w:firstLine="540"/>
        <w:jc w:val="both"/>
      </w:pPr>
      <w:r>
        <w:t>На работы по разработке программ, методик, библиографических пособий за единицу измерения принят один документ или один авторский лист.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 xml:space="preserve">В </w:t>
      </w:r>
      <w:hyperlink r:id="rId23">
        <w:r>
          <w:rPr>
            <w:color w:val="0000FF"/>
          </w:rPr>
          <w:t>нормах</w:t>
        </w:r>
      </w:hyperlink>
      <w:r>
        <w:t xml:space="preserve"> учтено время на подготовительно-заключительные работы, обслуживание рабочего места, отдых и личные потребности в размере 10% от оперативного времени. В ряде случаев к нормам приведены поправочные коэффициенты.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18. Настоящие типовые отраслевые нормы труда ориентированы на комплекс организационно-технических условий, которые обеспечивают возможность нормальной работы библиотеки в соответствии с действующими санитарно-гигиеническими стандартами, а именно: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а) деятельность работников библиотеки должна регламентироваться должностными инструкциями, внутренними трудовыми распорядками, правилами по охране труда и пожарной безопасности и иными локальными нормативными актами, принятыми в учреждениях;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б) при распределении работ между работниками следует учитывать их квалификацию, специализацию в определенных областях библиотечного дела и деловые качества, что будет способствовать качественному и быстрому выполнению заданий;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в) площадь помещения библиотеки должна соответствовать нормам, учитывающим требования рационального размещения необходимого оборудования. При этом рекомендуются помещения прямоугольной формы, имеющие две зоны: читательскую (зона обслуживания) и служебно-производственную (функционально-техническая). Уровень освещенности рабочего места, кратность обмена воздуха и температура в рабочих помещениях должны находиться в пределах, предусмотренных соответствующими санитарными нормами;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г) при расстановке мебели в рабочем помещении следует учитывать удобства подхода к каждому рабочему месту и обеспечение рациональных схем движения документов с учетом специализации исполнителей;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 xml:space="preserve">д) режим труда и отдыха работников библиотек устанавливается в соответствии с правилами внутреннего распорядка с учетом регламентации всех обязательных работ и выполнением наиболее сложных из них в первой половине дня, когда </w:t>
      </w:r>
      <w:proofErr w:type="gramStart"/>
      <w:r>
        <w:t>у</w:t>
      </w:r>
      <w:proofErr w:type="gramEnd"/>
      <w:r>
        <w:t xml:space="preserve"> работающих отмечается высокая устойчивая трудоспособность.</w:t>
      </w:r>
    </w:p>
    <w:p w:rsidR="00EF42AE" w:rsidRDefault="00EF42AE">
      <w:pPr>
        <w:pStyle w:val="ConsPlusNormal"/>
        <w:jc w:val="both"/>
      </w:pPr>
    </w:p>
    <w:p w:rsidR="00EF42AE" w:rsidRDefault="00EF42AE">
      <w:pPr>
        <w:pStyle w:val="ConsPlusNormal"/>
        <w:jc w:val="center"/>
        <w:outlineLvl w:val="1"/>
      </w:pPr>
      <w:r>
        <w:t>IV. Особенности введения типовых отраслевых норм труда</w:t>
      </w:r>
    </w:p>
    <w:p w:rsidR="00EF42AE" w:rsidRDefault="00EF42AE">
      <w:pPr>
        <w:pStyle w:val="ConsPlusNormal"/>
        <w:jc w:val="center"/>
      </w:pPr>
      <w:r>
        <w:t>на работы, выполняемые в фильмофондах</w:t>
      </w:r>
    </w:p>
    <w:p w:rsidR="00EF42AE" w:rsidRDefault="00EF42AE">
      <w:pPr>
        <w:pStyle w:val="ConsPlusNormal"/>
        <w:jc w:val="both"/>
      </w:pPr>
    </w:p>
    <w:p w:rsidR="00EF42AE" w:rsidRDefault="00EF42AE">
      <w:pPr>
        <w:pStyle w:val="ConsPlusNormal"/>
        <w:ind w:firstLine="540"/>
        <w:jc w:val="both"/>
      </w:pPr>
      <w:r>
        <w:t>19. Типовые отраслевые нормы труда на работы, выполняемые в фильмофондах (</w:t>
      </w:r>
      <w:hyperlink r:id="rId24">
        <w:r>
          <w:rPr>
            <w:color w:val="0000FF"/>
          </w:rPr>
          <w:t>приложение N 2</w:t>
        </w:r>
      </w:hyperlink>
      <w:r>
        <w:t xml:space="preserve">, утвержденное приказом Минкультуры России от 30.12.2014 N 2478), используются при введении в </w:t>
      </w:r>
      <w:proofErr w:type="spellStart"/>
      <w:r>
        <w:t>фильм</w:t>
      </w:r>
      <w:proofErr w:type="gramStart"/>
      <w:r>
        <w:t>о</w:t>
      </w:r>
      <w:proofErr w:type="spellEnd"/>
      <w:r>
        <w:t>-</w:t>
      </w:r>
      <w:proofErr w:type="gramEnd"/>
      <w:r>
        <w:t xml:space="preserve"> (кино-) фондах, </w:t>
      </w:r>
      <w:proofErr w:type="spellStart"/>
      <w:r>
        <w:t>киноколлекциях</w:t>
      </w:r>
      <w:proofErr w:type="spellEnd"/>
      <w:r>
        <w:t xml:space="preserve"> и других аналогичных организациях.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 xml:space="preserve">Типовые отраслевые </w:t>
      </w:r>
      <w:hyperlink r:id="rId25">
        <w:r>
          <w:rPr>
            <w:color w:val="0000FF"/>
          </w:rPr>
          <w:t>нормы</w:t>
        </w:r>
      </w:hyperlink>
      <w:r>
        <w:t xml:space="preserve"> труда на работы, выполняемые в фильмофондах, разработаны на основе научных исследований и с учетом апробаций в следующих учреждениях: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ФГБУК "Государственный фонд кинофильмов Российской Федерации";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ГУК "Кинофонд Рязанской области";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ГАУК Свердловской области "Свердловский областной фильмофонд";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ОГУК "</w:t>
      </w:r>
      <w:proofErr w:type="spellStart"/>
      <w:r>
        <w:t>УльяновскКинофонд</w:t>
      </w:r>
      <w:proofErr w:type="spellEnd"/>
      <w:r>
        <w:t>";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ОГАУК "Иркутский областной кинофонд";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lastRenderedPageBreak/>
        <w:t xml:space="preserve">ФГБУК "Объединенная государственная </w:t>
      </w:r>
      <w:proofErr w:type="spellStart"/>
      <w:r>
        <w:t>киноколлекция</w:t>
      </w:r>
      <w:proofErr w:type="spellEnd"/>
      <w:r>
        <w:t>".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 xml:space="preserve">20. Типовыми отраслевыми </w:t>
      </w:r>
      <w:hyperlink r:id="rId26">
        <w:r>
          <w:rPr>
            <w:color w:val="0000FF"/>
          </w:rPr>
          <w:t>нормами</w:t>
        </w:r>
      </w:hyperlink>
      <w:r>
        <w:t xml:space="preserve"> труда охвачены основные виды работ, выполняемые в фильмофондах, в том числе: прием и установка </w:t>
      </w:r>
      <w:proofErr w:type="spellStart"/>
      <w:r>
        <w:t>фильмоматериала</w:t>
      </w:r>
      <w:proofErr w:type="spellEnd"/>
      <w:r>
        <w:t xml:space="preserve"> на государственное хранение в хранилище; прием и установка </w:t>
      </w:r>
      <w:proofErr w:type="spellStart"/>
      <w:r>
        <w:t>фильмоматериала</w:t>
      </w:r>
      <w:proofErr w:type="spellEnd"/>
      <w:r>
        <w:t xml:space="preserve"> после временного использования; комплектация, выдача и хранение фильмовых материалов, фильмокопий и кинорекламы; ремонт, реставрация и проверка состояния фильмокопий, контроль фильмовых материалов.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 xml:space="preserve">21. Типовые отраслевые </w:t>
      </w:r>
      <w:hyperlink r:id="rId27">
        <w:r>
          <w:rPr>
            <w:color w:val="0000FF"/>
          </w:rPr>
          <w:t>нормы</w:t>
        </w:r>
      </w:hyperlink>
      <w:r>
        <w:t xml:space="preserve"> приведены с указанием: перечня работ, обрабатываемых материалов; единиц измерения; норм времени в минутах, в человеко-часах на 1000 метров; нормативов трудозатрат с учетом использования различной скорости специализированных машин, метража за смену в метрах, а также других показателей, используемых при выполнении работ в фильмофондах.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 xml:space="preserve">В </w:t>
      </w:r>
      <w:hyperlink r:id="rId28">
        <w:r>
          <w:rPr>
            <w:color w:val="0000FF"/>
          </w:rPr>
          <w:t>нормах</w:t>
        </w:r>
      </w:hyperlink>
      <w:r>
        <w:t xml:space="preserve"> учтено время на подготовительно-заключительные работы, обслуживание рабочего места, отдых и личные потребности в размере 10% от оперативного времени.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 xml:space="preserve">22. Типовые отраслевые </w:t>
      </w:r>
      <w:hyperlink r:id="rId29">
        <w:r>
          <w:rPr>
            <w:color w:val="0000FF"/>
          </w:rPr>
          <w:t>нормы</w:t>
        </w:r>
      </w:hyperlink>
      <w:r>
        <w:t xml:space="preserve"> труда ориентированы на комплекс организационно-технических условий, которые обеспечивают возможность нормальной работы фильмофондов в соответствии с действующими санитарно-гигиеническими стандартами, а именно: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а) деятельность работников фильмофондов регламентируется должностными инструкциями, внутренними трудовыми распорядками, правилами по охране труда и пожарной безопасности и иными локальными нормативными актами, принятыми в конкретных учреждениях;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б) при распределении работ между работниками следует учитывать их квалификацию, специализацию и деловые качества, что должно способствовать качественному и быстрому выполнению заданий;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в) площадь помещения фильмофонда должна соответствовать нормам, учитывающим требования рационального размещения необходимого оборудования. При этом рекомендуются помещения прямоугольной формы. Уровень освещенности рабочего места, кратность обмена воздуха и температура в рабочих помещениях должны находиться в пределах, предусмотренных соответствующими санитарными нормами;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г) при расстановке мебели в рабочем помещении следует учитывать удобства подхода к каждому рабочему месту и обеспечение рациональных схем движения документов с учетом специализации исполнителей;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 xml:space="preserve">д) режим труда и отдыха работников фильмофондов устанавливается в соответствии с правилами внутреннего трудового распорядка с учетом регламентации всех обязательных работ и </w:t>
      </w:r>
      <w:proofErr w:type="gramStart"/>
      <w:r>
        <w:t>выполнения</w:t>
      </w:r>
      <w:proofErr w:type="gramEnd"/>
      <w:r>
        <w:t xml:space="preserve"> наиболее сложных из них в первой половине дня, когда у работающих отмечается высокая устойчивая трудоспособность.</w:t>
      </w:r>
    </w:p>
    <w:p w:rsidR="00EF42AE" w:rsidRDefault="00EF42AE">
      <w:pPr>
        <w:pStyle w:val="ConsPlusNormal"/>
        <w:jc w:val="both"/>
      </w:pPr>
    </w:p>
    <w:p w:rsidR="00EF42AE" w:rsidRDefault="00EF42AE">
      <w:pPr>
        <w:pStyle w:val="ConsPlusNormal"/>
        <w:jc w:val="center"/>
        <w:outlineLvl w:val="1"/>
      </w:pPr>
      <w:r>
        <w:t>V. Особенности введения типовых отраслевых норм труда</w:t>
      </w:r>
    </w:p>
    <w:p w:rsidR="00EF42AE" w:rsidRDefault="00EF42AE">
      <w:pPr>
        <w:pStyle w:val="ConsPlusNormal"/>
        <w:jc w:val="center"/>
      </w:pPr>
      <w:r>
        <w:t>на работы, выполняемые в зоопарках</w:t>
      </w:r>
    </w:p>
    <w:p w:rsidR="00EF42AE" w:rsidRDefault="00EF42AE">
      <w:pPr>
        <w:pStyle w:val="ConsPlusNormal"/>
        <w:jc w:val="both"/>
      </w:pPr>
    </w:p>
    <w:p w:rsidR="00EF42AE" w:rsidRDefault="00EF42AE">
      <w:pPr>
        <w:pStyle w:val="ConsPlusNormal"/>
        <w:ind w:firstLine="540"/>
        <w:jc w:val="both"/>
      </w:pPr>
      <w:r>
        <w:t>23. Типовые отраслевые нормы труда на работы, выполняемые в зоопарках (</w:t>
      </w:r>
      <w:hyperlink r:id="rId30">
        <w:r>
          <w:rPr>
            <w:color w:val="0000FF"/>
          </w:rPr>
          <w:t>приложение N 1</w:t>
        </w:r>
      </w:hyperlink>
      <w:r>
        <w:t>, утвержденное приказом Минкультуры России от 30.12.2014 N 2478), рекомендованы для введения в зоопарках, зоосадах, ботанических садах и других аналогичных организациях.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Типовые отраслевые нормы труда на работы, выполняемые в зоопарках, разработаны на основе научных исследований и с учетом апробаций в следующих учреждениях: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МАУК г. Липецка "Липецкий зоологический парк";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ГАУК г. Москвы "Московский государственный зоологический парк";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МАУК "Пермский зоопарк";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МАУК "Зоопарк" городского округа "Город Калининград";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МАУ "Ярославский зоопарк".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 xml:space="preserve">24. Типовыми отраслевыми </w:t>
      </w:r>
      <w:hyperlink r:id="rId31">
        <w:r>
          <w:rPr>
            <w:color w:val="0000FF"/>
          </w:rPr>
          <w:t>нормами</w:t>
        </w:r>
      </w:hyperlink>
      <w:r>
        <w:t xml:space="preserve"> труда охвачены основные виды работ, выполняемые в </w:t>
      </w:r>
      <w:r>
        <w:lastRenderedPageBreak/>
        <w:t>зоопарках, в том числе: ветеринарные, зоологические; по уходу за животными и их кормление; исследовательские и методические; административные.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 xml:space="preserve">25. </w:t>
      </w:r>
      <w:hyperlink r:id="rId32">
        <w:r>
          <w:rPr>
            <w:color w:val="0000FF"/>
          </w:rPr>
          <w:t>Нормы</w:t>
        </w:r>
      </w:hyperlink>
      <w:r>
        <w:t xml:space="preserve"> труда для сотрудников зоопарка установлены в штатных единицах. На ветеринарные работы, выполняемые в зоопарках, нормы труда приведены в минутах.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 xml:space="preserve">В </w:t>
      </w:r>
      <w:hyperlink r:id="rId33">
        <w:r>
          <w:rPr>
            <w:color w:val="0000FF"/>
          </w:rPr>
          <w:t>нормах</w:t>
        </w:r>
      </w:hyperlink>
      <w:r>
        <w:t xml:space="preserve"> труда учтено время на подготовительно-заключительные работы, обслуживание рабочего места, отдых и личные потребности в размере 10% от оперативного времени.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 xml:space="preserve">26. При определении </w:t>
      </w:r>
      <w:hyperlink r:id="rId34">
        <w:r>
          <w:rPr>
            <w:color w:val="0000FF"/>
          </w:rPr>
          <w:t>норм</w:t>
        </w:r>
      </w:hyperlink>
      <w:r>
        <w:t xml:space="preserve"> труда условия содержания животных (групповое/одиночное, экспозиционное/</w:t>
      </w:r>
      <w:proofErr w:type="spellStart"/>
      <w:r>
        <w:t>неэкспозиционное</w:t>
      </w:r>
      <w:proofErr w:type="spellEnd"/>
      <w:r>
        <w:t>, степень технологической оснащенности, наличие/отсутствие контактной работы), которые существенным образом влияют на трудозатраты, учитываются самими учреждениями. Для этого нормы труда устанавливаются в формате "от - до", а сами учреждения, исходя из указанных условий, определяют локальные показатели норм труда.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 xml:space="preserve">27. Данные типовые отраслевые </w:t>
      </w:r>
      <w:hyperlink r:id="rId35">
        <w:r>
          <w:rPr>
            <w:color w:val="0000FF"/>
          </w:rPr>
          <w:t>нормы</w:t>
        </w:r>
      </w:hyperlink>
      <w:r>
        <w:t xml:space="preserve"> труда ориентированы на комплекс организационно-технических условий, которые обеспечивают возможность нормальной работы зоопарка в соответствии с действующими санитарно-гигиеническими стандартами, а именно: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а) деятельность работников зоопарка регламентируется должностными инструкциями, внутренними трудовыми распорядками, правилами по охране труда и пожарной безопасности и иными локальными нормативными актами, принятыми в учреждениях;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б) при распределении работ между исполнителями следует учитывать их квалификацию, специализацию и деловые качества, что будет способствовать качественному и быстрому выполнению заданий;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в) все зоопарки, располагающие коллекциями диких животных независимо от их видового состава и количества, относятся к категории учреждений повышенной опасности;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г) территория зоопарка делится на следующие зоны: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 xml:space="preserve">- </w:t>
      </w:r>
      <w:proofErr w:type="gramStart"/>
      <w:r>
        <w:t>экспозиционная</w:t>
      </w:r>
      <w:proofErr w:type="gramEnd"/>
      <w:r>
        <w:t>, посещение которой разрешается в порядке, устанавливаемом администрацией зоопарка;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 xml:space="preserve">- </w:t>
      </w:r>
      <w:proofErr w:type="gramStart"/>
      <w:r>
        <w:t>общественная</w:t>
      </w:r>
      <w:proofErr w:type="gramEnd"/>
      <w:r>
        <w:t>, предназначенная для обслуживания посетителей;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- административная;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- хозяйственная;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- научная;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- ветеринарная.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Посещение хозяйственной, научной и ветеринарной зон зоопарка разрешается только сотрудникам зоопарка, а также специалистам других учреждений по разрешению администрации зоопарка;</w:t>
      </w:r>
    </w:p>
    <w:p w:rsidR="00EF42AE" w:rsidRDefault="00EF42AE">
      <w:pPr>
        <w:pStyle w:val="ConsPlusNormal"/>
        <w:spacing w:before="200"/>
        <w:ind w:firstLine="540"/>
        <w:jc w:val="both"/>
      </w:pPr>
      <w:proofErr w:type="gramStart"/>
      <w:r>
        <w:t>д) приборы и оборудование: станки, автоклавы, термостаты, компрессорные установки, перегонные устройства, овощемойки, корнерезки, подъемные устройства, радио, аппаратура рентгеновских кабинетов, электрообогревательные приборы, лампы специального назначения (кварцевые, бактерицидные и т.п.) и другое оборудование, используемое в зоопарке, должно соответствовать требованиям эксплуатационной и технической документации.</w:t>
      </w:r>
      <w:proofErr w:type="gramEnd"/>
    </w:p>
    <w:p w:rsidR="00EF42AE" w:rsidRDefault="00EF42AE">
      <w:pPr>
        <w:pStyle w:val="ConsPlusNormal"/>
        <w:spacing w:before="200"/>
        <w:ind w:firstLine="540"/>
        <w:jc w:val="both"/>
      </w:pPr>
      <w:r>
        <w:t>Конструкции клеток, загонов, вольеров и других помещений для содержания животных должны соответствовать проектной документации и обеспечивать безопасность работы обслуживающего персонала при всех производственных процессах;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е) все работы, связанные с обслуживанием и перемещением животных, должны производиться только специалистами и (при необходимости) приглашенными работниками.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 xml:space="preserve">28. </w:t>
      </w:r>
      <w:proofErr w:type="gramStart"/>
      <w:r>
        <w:t xml:space="preserve">Прежде чем приступить к обслуживанию того или иного объекта зоопарка в начале рабочего дня (уборка помещений, кормление животных, водопой, выпуск их в летние выгулы и т.п.), необходимо убедиться в возможности безопасного выполнения работ (все животные </w:t>
      </w:r>
      <w:r>
        <w:lastRenderedPageBreak/>
        <w:t>находятся на своих местах, а клетки, вольеры, барьеры, перегонные устройства, запоры и тому подобное исправны).</w:t>
      </w:r>
      <w:proofErr w:type="gramEnd"/>
      <w:r>
        <w:t xml:space="preserve"> Все эксплуатируемые запоры, задвижки, замки, страховые цепи, автоматические запирающиеся и закрывающиеся устройства должны постоянно содержаться в исправности и чистоте, периодически смазываться, подвергаться профилактическому осмотру, вовремя ремонтироваться и быть недосягаемыми для животных.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Персоналу, обслуживающему животных, запрещается заходить в клетки, вольеры, загоны через ограждения, барьеры, рвы и тому подобное. Для входа и выхода должны быть использованы только специально предназначенные входные и выходные двери, ворота, калитки, которые обеспечивают свободный и быстрый маневр.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29. Работники зоопарка должны быть обеспечены спецодеждой, специальной обувью и другими средствами индивидуальной защиты, защитными приспособлениями и предметами личной гигиены по установленным нормам.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30. Руководство и ветеринарная служба зоопарка обязаны в полном объеме и в установленные сроки исполнять все предписания государственного ветеринарного надзора.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Ветеринарные врачи зоопарка проводят постоянное ветеринарное наблюдение за всеми животными зоопарка.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Во время обслуживания животных при входе и выходе из клеток, где содержатся животные, сотрудники зоопарка дезинфицируют обувь в случаях заболеваний.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 xml:space="preserve">При заболевании заразными болезнями крупных животных (слонов, бегемотов, носорогов, бизонов, зубров и других) </w:t>
      </w:r>
      <w:proofErr w:type="gramStart"/>
      <w:r>
        <w:t>возможно</w:t>
      </w:r>
      <w:proofErr w:type="gramEnd"/>
      <w:r>
        <w:t xml:space="preserve"> их оставление на своих местах, но с обязательным проведением ограничительных мероприятий, предупреждающих распространение инфекции. При заболевании заразными болезнями мелких и средних животных их помещают в изолятор. Вход в изолятор посторонним лицам воспрещен.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Обслуживание изолированных животных должно быть организовано так, чтобы исключить возможность распространения инфекции, опасной для человека. Работу в изоляторах осуществляют специально обученные лица, которые предварительно проходят дополнительный инструктаж по охране труда. Инвентарь, оборудование, клетки, где содержатся больные животные, ежедневно дезинфицируются.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 xml:space="preserve">31. Режим труда и отдыха работников зоопарка устанавливается в соответствии с правилами внутреннего распорядка с учетом регламентации всех обязательных работ и выполнением наиболее сложных из них в первой половине дня, когда </w:t>
      </w:r>
      <w:proofErr w:type="gramStart"/>
      <w:r>
        <w:t>у</w:t>
      </w:r>
      <w:proofErr w:type="gramEnd"/>
      <w:r>
        <w:t xml:space="preserve"> работающих отмечается высокая устойчивая трудоспособность.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 xml:space="preserve">32. </w:t>
      </w:r>
      <w:proofErr w:type="gramStart"/>
      <w:r>
        <w:t>Прием на работу рабочих и служащих, которые по характеру своей трудовой деятельности будут заняты на обслуживании животных, производится при наличии справки от медицинского учреждения о состоянии здоровья, в которой должно быть указано, что работа данного лица в зоопарке с учетом его специфики разрешается.</w:t>
      </w:r>
      <w:proofErr w:type="gramEnd"/>
      <w:r>
        <w:t xml:space="preserve"> Прием на работу лиц, не достигших 18 лет, категорически запрещается.</w:t>
      </w:r>
    </w:p>
    <w:p w:rsidR="00EF42AE" w:rsidRDefault="00EF42AE">
      <w:pPr>
        <w:pStyle w:val="ConsPlusNormal"/>
        <w:jc w:val="both"/>
      </w:pPr>
    </w:p>
    <w:p w:rsidR="00EF42AE" w:rsidRDefault="00EF42AE">
      <w:pPr>
        <w:pStyle w:val="ConsPlusNormal"/>
        <w:jc w:val="center"/>
        <w:outlineLvl w:val="1"/>
      </w:pPr>
      <w:r>
        <w:t xml:space="preserve">VI. Особенности введения </w:t>
      </w:r>
      <w:proofErr w:type="gramStart"/>
      <w:r>
        <w:t>типовых</w:t>
      </w:r>
      <w:proofErr w:type="gramEnd"/>
      <w:r>
        <w:t xml:space="preserve"> отраслевых</w:t>
      </w:r>
    </w:p>
    <w:p w:rsidR="00EF42AE" w:rsidRDefault="00EF42AE">
      <w:pPr>
        <w:pStyle w:val="ConsPlusNormal"/>
        <w:jc w:val="center"/>
      </w:pPr>
      <w:r>
        <w:t>норм труда на работы, выполняемые в музеях и других</w:t>
      </w:r>
    </w:p>
    <w:p w:rsidR="00EF42AE" w:rsidRDefault="00EF42AE">
      <w:pPr>
        <w:pStyle w:val="ConsPlusNormal"/>
        <w:jc w:val="center"/>
      </w:pPr>
      <w:proofErr w:type="gramStart"/>
      <w:r>
        <w:t>организациях</w:t>
      </w:r>
      <w:proofErr w:type="gramEnd"/>
      <w:r>
        <w:t xml:space="preserve"> музейного типа</w:t>
      </w:r>
    </w:p>
    <w:p w:rsidR="00EF42AE" w:rsidRDefault="00EF42AE">
      <w:pPr>
        <w:pStyle w:val="ConsPlusNormal"/>
        <w:jc w:val="both"/>
      </w:pPr>
    </w:p>
    <w:p w:rsidR="00EF42AE" w:rsidRDefault="00EF42AE">
      <w:pPr>
        <w:pStyle w:val="ConsPlusNormal"/>
        <w:ind w:firstLine="540"/>
        <w:jc w:val="both"/>
      </w:pPr>
      <w:r>
        <w:t>33. Типовые отраслевые нормы труда на работы, выполняемые в музеях и других организациях музейного типа (</w:t>
      </w:r>
      <w:hyperlink r:id="rId36">
        <w:r>
          <w:rPr>
            <w:color w:val="0000FF"/>
          </w:rPr>
          <w:t>приложение N 3</w:t>
        </w:r>
      </w:hyperlink>
      <w:r>
        <w:t>, утвержденное приказом Минкультуры России от 30.12.2014 N 2478), применяются при введении в музеях, выставочных залах, картинных галереях и других организациях музейного типа.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 xml:space="preserve">Типовые отраслевые </w:t>
      </w:r>
      <w:hyperlink r:id="rId37">
        <w:r>
          <w:rPr>
            <w:color w:val="0000FF"/>
          </w:rPr>
          <w:t>нормы</w:t>
        </w:r>
      </w:hyperlink>
      <w:r>
        <w:t xml:space="preserve"> труда на работы, выполняемые в музеях и других организациях музейного типа, разработаны на основе научных исследований и с учетом апробаций в следующих учреждениях: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ФБГУК Всероссийского музейного объединения "Государственная Третьяковская галерея";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ФБГУК "Кирилло-Белозерский историко-архитектурный и художественный музей-заповедник";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lastRenderedPageBreak/>
        <w:t>ФБГУК "Тульский государственный музей оружия";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ФБГУК "Российский этнографический музей";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ФБГУК "Центральный музей Великой Отечественной войны 1941 - 1945 гг.";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ФБГУК "Политехнический музей".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 xml:space="preserve">34. Типовыми отраслевыми </w:t>
      </w:r>
      <w:hyperlink r:id="rId38">
        <w:r>
          <w:rPr>
            <w:color w:val="0000FF"/>
          </w:rPr>
          <w:t>нормами</w:t>
        </w:r>
      </w:hyperlink>
      <w:r>
        <w:t xml:space="preserve"> труда охвачены основные виды работ, выполняемые в музеях, в том числе научно-просветительские работы, научный учет и хранение экспонатов, научно-исследовательские работы, формирование музейной библиотеки, организационные работы, археологические наблюдения и раскопки, архивные работы, научно-издательская деятельность, экспозиционно-выставочные работы, формирование фототеки.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 xml:space="preserve">35. </w:t>
      </w:r>
      <w:hyperlink r:id="rId39">
        <w:r>
          <w:rPr>
            <w:color w:val="0000FF"/>
          </w:rPr>
          <w:t>Нормы</w:t>
        </w:r>
      </w:hyperlink>
      <w:r>
        <w:t xml:space="preserve"> труда для работников музеев установлены в нормах времени на единицу работ, которые приведены в часах.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 xml:space="preserve">В </w:t>
      </w:r>
      <w:hyperlink r:id="rId40">
        <w:r>
          <w:rPr>
            <w:color w:val="0000FF"/>
          </w:rPr>
          <w:t>нормах</w:t>
        </w:r>
      </w:hyperlink>
      <w:r>
        <w:t xml:space="preserve"> учтено время на подготовительно-заключительные работы, обслуживание рабочего места, отдых и личные потребности в размере 10% от оперативного времени.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36. Перечень сокращений применяемых в сборнике: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ДЛИ - декоративно-прикладное искусство;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РУК - рукоделие и народные промысла;</w:t>
      </w:r>
    </w:p>
    <w:p w:rsidR="00EF42AE" w:rsidRDefault="00EF42AE">
      <w:pPr>
        <w:pStyle w:val="ConsPlusNormal"/>
        <w:spacing w:before="200"/>
        <w:ind w:firstLine="540"/>
        <w:jc w:val="both"/>
      </w:pPr>
      <w:proofErr w:type="gramStart"/>
      <w:r>
        <w:t>ИЗО</w:t>
      </w:r>
      <w:proofErr w:type="gramEnd"/>
      <w:r>
        <w:t xml:space="preserve"> - изобразительное искусство.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 xml:space="preserve">37. Указанные типовые отраслевые </w:t>
      </w:r>
      <w:hyperlink r:id="rId41">
        <w:r>
          <w:rPr>
            <w:color w:val="0000FF"/>
          </w:rPr>
          <w:t>нормы</w:t>
        </w:r>
      </w:hyperlink>
      <w:r>
        <w:t xml:space="preserve"> труда ориентированы на комплекс организационно-технических условий, которые обеспечивают возможность оптимальной работы музеев в соответствии с действующими санитарно-гигиеническими стандартами, а именно: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а) деятельность работников музеев регламентируется должностными инструкциями, внутренними трудовыми распорядками, правилами по охране труда и пожарной безопасности и иными локальными нормативными актами, принятыми в конкретных учреждениях;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б) при распределении работ между исполнителями следует учитывать их квалификацию, специализацию и деловые качества, что будет способствовать качественному и быстрому выполнению заданий;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в) площадь помещения музеев должна соответствовать нормам, учитывающим требования рационального размещения необходимого оборудования. При этом рекомендуются помещения прямоугольной формы. Уровень освещенности рабочего места, кратность обмена воздуха и температура в рабочих помещениях должны находиться в пределах, предусмотренных соответствующими санитарными нормами;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>г) при расстановке мебели в рабочем помещении следует учитывать удобства подхода к каждому рабочему месту и обеспечение рациональных схем движения документов с учетом специализации исполнителей;</w:t>
      </w:r>
    </w:p>
    <w:p w:rsidR="00EF42AE" w:rsidRDefault="00EF42AE">
      <w:pPr>
        <w:pStyle w:val="ConsPlusNormal"/>
        <w:spacing w:before="200"/>
        <w:ind w:firstLine="540"/>
        <w:jc w:val="both"/>
      </w:pPr>
      <w:r>
        <w:t xml:space="preserve">д) режим труда и отдыха работников музеев устанавливается в соответствии с правилами внутреннего распорядка с учетом регламентации всех обязательных работ и </w:t>
      </w:r>
      <w:proofErr w:type="gramStart"/>
      <w:r>
        <w:t>выполнения</w:t>
      </w:r>
      <w:proofErr w:type="gramEnd"/>
      <w:r>
        <w:t xml:space="preserve"> наиболее сложных из них в первой половине дня, когда у работающих отмечается высокая устойчивая трудоспособность.</w:t>
      </w:r>
    </w:p>
    <w:p w:rsidR="00EF42AE" w:rsidRDefault="00EF42AE">
      <w:pPr>
        <w:pStyle w:val="ConsPlusNormal"/>
        <w:jc w:val="both"/>
      </w:pPr>
    </w:p>
    <w:p w:rsidR="00EF42AE" w:rsidRDefault="00EF42AE">
      <w:pPr>
        <w:pStyle w:val="ConsPlusNormal"/>
        <w:jc w:val="both"/>
      </w:pPr>
    </w:p>
    <w:p w:rsidR="00EF42AE" w:rsidRDefault="00EF42A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4B4F" w:rsidRDefault="000D4B4F"/>
    <w:sectPr w:rsidR="000D4B4F" w:rsidSect="00F5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AE"/>
    <w:rsid w:val="000D4B4F"/>
    <w:rsid w:val="00E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2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F42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F42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2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F42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F42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740902A9A62E420E1AB7089A3B86D8B6FFBD7CED2CBE26E22300B6BFC7FBFE3837812391A2765DD6539E7BEF1D8E9E17599122A7EC1F2CXCa0E" TargetMode="External"/><Relationship Id="rId13" Type="http://schemas.openxmlformats.org/officeDocument/2006/relationships/hyperlink" Target="consultantplus://offline/ref=B9740902A9A62E420E1AB7089A3B86D8B6FDBE70EF2CBE26E22300B6BFC7FBFE2A37D92F90A2685CDD46C82AA9X4aAE" TargetMode="External"/><Relationship Id="rId18" Type="http://schemas.openxmlformats.org/officeDocument/2006/relationships/hyperlink" Target="consultantplus://offline/ref=B9740902A9A62E420E1AB7089A3B86D8B6FFB071E52DBE26E22300B6BFC7FBFE2A37D92F90A2685CDD46C82AA9X4aAE" TargetMode="External"/><Relationship Id="rId26" Type="http://schemas.openxmlformats.org/officeDocument/2006/relationships/hyperlink" Target="consultantplus://offline/ref=B9740902A9A62E420E1AB7089A3B86D8B6FFB077E42BBE26E22300B6BFC7FBFE3837812391A27455D8539E7BEF1D8E9E17599122A7EC1F2CXCa0E" TargetMode="External"/><Relationship Id="rId39" Type="http://schemas.openxmlformats.org/officeDocument/2006/relationships/hyperlink" Target="consultantplus://offline/ref=B9740902A9A62E420E1AB7089A3B86D8B6FFB077E42BBE26E22300B6BFC7FBFE3837812391A0765CDE539E7BEF1D8E9E17599122A7EC1F2CXCa0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740902A9A62E420E1AB7089A3B86D8B6FFB071E52DBE26E22300B6BFC7FBFE3837812391A2765CDF539E7BEF1D8E9E17599122A7EC1F2CXCa0E" TargetMode="External"/><Relationship Id="rId34" Type="http://schemas.openxmlformats.org/officeDocument/2006/relationships/hyperlink" Target="consultantplus://offline/ref=B9740902A9A62E420E1AB7089A3B86D8B6FFB077E42BBE26E22300B6BFC7FBFE3837812391A2765CDC539E7BEF1D8E9E17599122A7EC1F2CXCa0E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B9740902A9A62E420E1AB7089A3B86D8B6F0BF76E82ABE26E22300B6BFC7FBFE3837812391A2765DD6539E7BEF1D8E9E17599122A7EC1F2CXCa0E" TargetMode="External"/><Relationship Id="rId12" Type="http://schemas.openxmlformats.org/officeDocument/2006/relationships/hyperlink" Target="consultantplus://offline/ref=B9740902A9A62E420E1AB7089A3B86D8BEFAB074EB21E32CEA7A0CB4B8C8A4FB3F26812391BC775FC15ACA28XAa9E" TargetMode="External"/><Relationship Id="rId17" Type="http://schemas.openxmlformats.org/officeDocument/2006/relationships/hyperlink" Target="consultantplus://offline/ref=B9740902A9A62E420E1AB7089A3B86D8B3FBB972EE2BBE26E22300B6BFC7FBFE3837812391A3765ED9539E7BEF1D8E9E17599122A7EC1F2CXCa0E" TargetMode="External"/><Relationship Id="rId25" Type="http://schemas.openxmlformats.org/officeDocument/2006/relationships/hyperlink" Target="consultantplus://offline/ref=B9740902A9A62E420E1AB7089A3B86D8B6FFB077E42BBE26E22300B6BFC7FBFE3837812391A27455D8539E7BEF1D8E9E17599122A7EC1F2CXCa0E" TargetMode="External"/><Relationship Id="rId33" Type="http://schemas.openxmlformats.org/officeDocument/2006/relationships/hyperlink" Target="consultantplus://offline/ref=B9740902A9A62E420E1AB7089A3B86D8B6FFB077E42BBE26E22300B6BFC7FBFE3837812391A2765CDC539E7BEF1D8E9E17599122A7EC1F2CXCa0E" TargetMode="External"/><Relationship Id="rId38" Type="http://schemas.openxmlformats.org/officeDocument/2006/relationships/hyperlink" Target="consultantplus://offline/ref=B9740902A9A62E420E1AB7089A3B86D8B6FFB077E42BBE26E22300B6BFC7FBFE3837812391A0765CDE539E7BEF1D8E9E17599122A7EC1F2CXCa0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740902A9A62E420E1AB7089A3B86D8B3FBB972EE2BBE26E22300B6BFC7FBFE3837812391A3765EDB539E7BEF1D8E9E17599122A7EC1F2CXCa0E" TargetMode="External"/><Relationship Id="rId20" Type="http://schemas.openxmlformats.org/officeDocument/2006/relationships/hyperlink" Target="consultantplus://offline/ref=B9740902A9A62E420E1AB7089A3B86D8B6FFB071E52DBE26E22300B6BFC7FBFE3837812391A2765CDF539E7BEF1D8E9E17599122A7EC1F2CXCa0E" TargetMode="External"/><Relationship Id="rId29" Type="http://schemas.openxmlformats.org/officeDocument/2006/relationships/hyperlink" Target="consultantplus://offline/ref=B9740902A9A62E420E1AB7089A3B86D8B6FFB077E42BBE26E22300B6BFC7FBFE3837812391A27455D8539E7BEF1D8E9E17599122A7EC1F2CXCa0E" TargetMode="External"/><Relationship Id="rId41" Type="http://schemas.openxmlformats.org/officeDocument/2006/relationships/hyperlink" Target="consultantplus://offline/ref=B9740902A9A62E420E1AB7089A3B86D8B6FFB077E42BBE26E22300B6BFC7FBFE3837812391A0765CDE539E7BEF1D8E9E17599122A7EC1F2CXCa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740902A9A62E420E1AB7089A3B86D8B6FFB071E52DBE26E22300B6BFC7FBFE3837812391A2765CDF539E7BEF1D8E9E17599122A7EC1F2CXCa0E" TargetMode="External"/><Relationship Id="rId11" Type="http://schemas.openxmlformats.org/officeDocument/2006/relationships/hyperlink" Target="consultantplus://offline/ref=B9740902A9A62E420E1AB7089A3B86D8BEFFBA73E421E32CEA7A0CB4B8C8A4FB3F26812391BC775FC15ACA28XAa9E" TargetMode="External"/><Relationship Id="rId24" Type="http://schemas.openxmlformats.org/officeDocument/2006/relationships/hyperlink" Target="consultantplus://offline/ref=B9740902A9A62E420E1AB7089A3B86D8B6FFB077E42BBE26E22300B6BFC7FBFE3837812391A27455D8539E7BEF1D8E9E17599122A7EC1F2CXCa0E" TargetMode="External"/><Relationship Id="rId32" Type="http://schemas.openxmlformats.org/officeDocument/2006/relationships/hyperlink" Target="consultantplus://offline/ref=B9740902A9A62E420E1AB7089A3B86D8B6FFB077E42BBE26E22300B6BFC7FBFE3837812391A2765CDC539E7BEF1D8E9E17599122A7EC1F2CXCa0E" TargetMode="External"/><Relationship Id="rId37" Type="http://schemas.openxmlformats.org/officeDocument/2006/relationships/hyperlink" Target="consultantplus://offline/ref=B9740902A9A62E420E1AB7089A3B86D8B6FFB077E42BBE26E22300B6BFC7FBFE3837812391A0765CDE539E7BEF1D8E9E17599122A7EC1F2CXCa0E" TargetMode="External"/><Relationship Id="rId40" Type="http://schemas.openxmlformats.org/officeDocument/2006/relationships/hyperlink" Target="consultantplus://offline/ref=B9740902A9A62E420E1AB7089A3B86D8B6FFB077E42BBE26E22300B6BFC7FBFE3837812391A0765CDE539E7BEF1D8E9E17599122A7EC1F2CXCa0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9740902A9A62E420E1AB7089A3B86D8B6FDBC74E52ABE26E22300B6BFC7FBFE3837812391A2765FDD539E7BEF1D8E9E17599122A7EC1F2CXCa0E" TargetMode="External"/><Relationship Id="rId23" Type="http://schemas.openxmlformats.org/officeDocument/2006/relationships/hyperlink" Target="consultantplus://offline/ref=B9740902A9A62E420E1AB7089A3B86D8B6FFB071E52DBE26E22300B6BFC7FBFE3837812391A2765CDF539E7BEF1D8E9E17599122A7EC1F2CXCa0E" TargetMode="External"/><Relationship Id="rId28" Type="http://schemas.openxmlformats.org/officeDocument/2006/relationships/hyperlink" Target="consultantplus://offline/ref=B9740902A9A62E420E1AB7089A3B86D8B6FFB077E42BBE26E22300B6BFC7FBFE3837812391A27455D8539E7BEF1D8E9E17599122A7EC1F2CXCa0E" TargetMode="External"/><Relationship Id="rId36" Type="http://schemas.openxmlformats.org/officeDocument/2006/relationships/hyperlink" Target="consultantplus://offline/ref=B9740902A9A62E420E1AB7089A3B86D8B6FFB077E42BBE26E22300B6BFC7FBFE3837812391A0765CDE539E7BEF1D8E9E17599122A7EC1F2CXCa0E" TargetMode="External"/><Relationship Id="rId10" Type="http://schemas.openxmlformats.org/officeDocument/2006/relationships/hyperlink" Target="consultantplus://offline/ref=B9740902A9A62E420E1AB7089A3B86D8B6FDBC74E52ABE26E22300B6BFC7FBFE3837812391A2765DD7539E7BEF1D8E9E17599122A7EC1F2CXCa0E" TargetMode="External"/><Relationship Id="rId19" Type="http://schemas.openxmlformats.org/officeDocument/2006/relationships/hyperlink" Target="consultantplus://offline/ref=B9740902A9A62E420E1AB7089A3B86D8B6FFB077E42BBE26E22300B6BFC7FBFE2A37D92F90A2685CDD46C82AA9X4aAE" TargetMode="External"/><Relationship Id="rId31" Type="http://schemas.openxmlformats.org/officeDocument/2006/relationships/hyperlink" Target="consultantplus://offline/ref=B9740902A9A62E420E1AB7089A3B86D8B6FFB077E42BBE26E22300B6BFC7FBFE3837812391A2765CDC539E7BEF1D8E9E17599122A7EC1F2CXCa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740902A9A62E420E1AB7089A3B86D8B6FFBD7CED2CBE26E22300B6BFC7FBFE2A37D92F90A2685CDD46C82AA9X4aAE" TargetMode="External"/><Relationship Id="rId14" Type="http://schemas.openxmlformats.org/officeDocument/2006/relationships/hyperlink" Target="consultantplus://offline/ref=B9740902A9A62E420E1AB7089A3B86D8B6FFBD7CED2CBE26E22300B6BFC7FBFE3837812391A2765EDE539E7BEF1D8E9E17599122A7EC1F2CXCa0E" TargetMode="External"/><Relationship Id="rId22" Type="http://schemas.openxmlformats.org/officeDocument/2006/relationships/hyperlink" Target="consultantplus://offline/ref=B9740902A9A62E420E1AB7089A3B86D8B6FFB071E52DBE26E22300B6BFC7FBFE3837812391A2765CDF539E7BEF1D8E9E17599122A7EC1F2CXCa0E" TargetMode="External"/><Relationship Id="rId27" Type="http://schemas.openxmlformats.org/officeDocument/2006/relationships/hyperlink" Target="consultantplus://offline/ref=B9740902A9A62E420E1AB7089A3B86D8B6FFB077E42BBE26E22300B6BFC7FBFE3837812391A27455D8539E7BEF1D8E9E17599122A7EC1F2CXCa0E" TargetMode="External"/><Relationship Id="rId30" Type="http://schemas.openxmlformats.org/officeDocument/2006/relationships/hyperlink" Target="consultantplus://offline/ref=B9740902A9A62E420E1AB7089A3B86D8B6FFB077E42BBE26E22300B6BFC7FBFE3837812391A2765CDC539E7BEF1D8E9E17599122A7EC1F2CXCa0E" TargetMode="External"/><Relationship Id="rId35" Type="http://schemas.openxmlformats.org/officeDocument/2006/relationships/hyperlink" Target="consultantplus://offline/ref=B9740902A9A62E420E1AB7089A3B86D8B6FFB077E42BBE26E22300B6BFC7FBFE3837812391A2765CDC539E7BEF1D8E9E17599122A7EC1F2CXCa0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5496</Words>
  <Characters>31333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vtp</dc:creator>
  <cp:lastModifiedBy>vtp</cp:lastModifiedBy>
  <cp:revision>1</cp:revision>
  <dcterms:created xsi:type="dcterms:W3CDTF">2022-12-10T04:26:00Z</dcterms:created>
  <dcterms:modified xsi:type="dcterms:W3CDTF">2022-12-10T04:26:00Z</dcterms:modified>
</cp:coreProperties>
</file>